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"Гироскопия и навигация" №1 (92), 2016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9"/>
        <w:gridCol w:w="466"/>
      </w:tblGrid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Ф. Мюллер, M. Райтохарью, С. Али-Лойту, Л. Вирола, Р. Пише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"http://www.elektropribor.spb.ru/gnnew/rn1_2016_annot?paper=1&amp;isDemo=1" </w:instrText>
                  </w:r>
                  <w:r>
                    <w:rPr>
                      <w:rFonts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Обзор параметрических методов позиционирования на основе концепции отпечатка пальца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Г. И. Емельянцев, Б. А. Блажнов, Е. В. Драницына, А. П. 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"http://www.elektropribor.spb.ru/gnnew/rn1_2016_annot?paper=2&amp;isDemo=1"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О калибровке измерительного модуля прецизионной БИНС и построении связанного с ним ортогонального трёхгранника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С. Негри, Э. Лабарр, К. Линьон, Э. Брунштейн, Э. Салаён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"http://www.elektropribor.spb.ru/gnnew/rn1_2016_annot?paper=3&amp;isDemo=1"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Новое поколение инерциальных навигационных систем на основе ВТГ для аппаратов, обеспечивающих запуск спутников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Р. А. Денисов, А. А. Маслов, Д. А. Маслов, И. В. Меркурьев, В. В. Подалков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"http://www.elektropribor.spb.ru/gnnew/rn1_2016_annot?paper=4&amp;isDemo=1"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Влияние опорного напряжения электромагнитных датчиков управления на дрейф волнового твердотельного гироскопа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А. С. Лысенко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"http://www.elektropribor.spb.ru/gnnew/rn1_2016_annot?paper=5&amp;isDemo=1"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Алгоритмы работы и схема построения гироинклинометра с продольной компоновкой для вертикальных участков стволов скважин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Д. Г. Грязин, Л. П. Старосельцев, О. О. Белова, А. Н. Дзюба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"http://www.elektropribor.spb.ru/gnnew/rn1_2016_annot?paper=6&amp;isDemo=1"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Инерциальный измерительный модуль волномерного буя. Результаты разработки и испытаний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Я. Лю, С. Ли, C. Сяо, Ц. Фу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"http://www.elektropribor.spb.ru/gnnew/rn1_2016_annot?paper=7&amp;isDemo=1"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Обнаружение спуфинг-атак на сигналы ГНСС с использованием двухантенных измерений и данных инерциальной навигационной системы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В. Н. Максимов, А. И. Черноморский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"http://www.elektropribor.spb.ru/gnnew/rn1_2016_annot?paper=8&amp;isDemo=1"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Комплексная система навигации и локального картографирования для одноосного колесного модуля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Е. М. Мазурова, В. Ф. Канушин, И. Г. Ганагина, Д. Н. Голдобин, В. В. Бочкарёва, Н. С. Косарев, А. М. Косарева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"http://www.elektropribor.spb.ru/gnnew/rn1_2016_annot?paper=9&amp;isDemo=1"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О результатах создания глобальной модели геоида на основе алгоритма одномерного сферического преобразования Фурье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В. О. Рыбинский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"http://www.elektropribor.spb.ru/gnnew/rn1_2016_annot?paper=10&amp;isDemo=1"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Оптимизация импульсной системы управления движением подводного аппарата на множестве регуляторов пониженного порядка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Н. И. Кробка, С. А. Аксенов, С. А. Бобер, Е. В. Ефремова, И. В. Логашина, А. В. Тукмаков, Ю. В. Федоренко, Е. Н. Чумаченко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"http://www.elektropribor.spb.ru/gnnew/rn1_2016_annot?paper=11&amp;isDemo=1"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Распределенные интегрированные навигационные системы для задач планетарной защиты от астероидов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dr w:val="none" w:color="auto" w:sz="0" w:space="0"/>
              </w:rPr>
              <w:t>В помощь исследователю и разработчику</w:t>
            </w:r>
          </w:p>
        </w:tc>
        <w:tc>
          <w:tcPr>
            <w:tcW w:w="421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b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Е. Вакнин, И. Клейн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"http://www.elektropribor.spb.ru/gnnew/rn1_2016_annot?paper=12&amp;isDemo=1" </w:instrTex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default" w:ascii="Georgia" w:hAnsi="Georgia" w:eastAsia="Georgia" w:cs="Georgia"/>
                      <w:color w:val="0000FF"/>
                      <w:sz w:val="24"/>
                      <w:szCs w:val="24"/>
                      <w:u w:val="none"/>
                      <w:bdr w:val="none" w:color="auto" w:sz="0" w:space="0"/>
                    </w:rPr>
                    <w:t>Грубая выставка вертикали безгироскопной инерциальной навигационной системы</w:t>
                  </w:r>
                  <w:r>
                    <w:rPr>
                      <w:rFonts w:hint="default" w:ascii="Georgia" w:hAnsi="Georgia" w:eastAsia="Georgia" w:cs="Georgia"/>
                      <w:color w:val="0000FF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dr w:val="none" w:color="auto" w:sz="0" w:space="0"/>
              </w:rPr>
              <w:t>Информация</w:t>
            </w:r>
          </w:p>
        </w:tc>
        <w:tc>
          <w:tcPr>
            <w:tcW w:w="421" w:type="dxa"/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rPr>
          <w:tblCellSpacing w:w="15" w:type="dxa"/>
        </w:trPr>
        <w:tc>
          <w:tcPr>
            <w:tcW w:w="7884" w:type="dxa"/>
            <w:shd w:val="clear"/>
            <w:vAlign w:val="center"/>
          </w:tcPr>
          <w:tbl>
            <w:tblPr>
              <w:tblW w:w="785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4"/>
            </w:tblGrid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default" w:ascii="Georgia" w:hAnsi="Georgia" w:eastAsia="Georgia" w:cs="Georgia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9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SimSun" w:hAnsi="SimSun" w:eastAsia="SimSun" w:cs="SimSu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________________________________________________________________________________</w:t>
                  </w:r>
                </w:p>
              </w:tc>
            </w:tr>
          </w:tbl>
          <w:p/>
        </w:tc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4FB70B70"/>
    <w:rsid w:val="77DCAD69"/>
    <w:rsid w:val="7DBB4834"/>
    <w:rsid w:val="7DFDB09B"/>
    <w:rsid w:val="BBCEFE42"/>
    <w:rsid w:val="C7FF8FBB"/>
    <w:rsid w:val="DF5F4F31"/>
    <w:rsid w:val="ED9D3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2018-07-26T09:57:49Z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