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33"/>
          <w:szCs w:val="33"/>
          <w:lang w:val="en-US" w:eastAsia="zh-CN" w:bidi="ar"/>
        </w:rPr>
        <w:t>"Гироскопия и навигация" №2, 2008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СОДЕРЖАНИЕ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7"/>
        <w:gridCol w:w="5435"/>
        <w:gridCol w:w="213"/>
      </w:tblGrid>
      <w:tr>
        <w:trPr>
          <w:tblCellSpacing w:w="15" w:type="dxa"/>
        </w:trPr>
        <w:tc>
          <w:tcPr>
            <w:tcW w:w="27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Рэндал Джаффи, Хунхуэй Ци, Хосе Антонио Риос</w:t>
            </w:r>
          </w:p>
        </w:tc>
        <w:tc>
          <w:tcPr>
            <w:tcW w:w="54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Результаты испытаний и описание интегрированной ИНС/GPS системы MMQ-G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vertAlign w:val="superscript"/>
                <w:lang w:val="en-US" w:eastAsia="zh-CN" w:bidi="ar"/>
              </w:rPr>
              <w:t>TM</w:t>
            </w:r>
          </w:p>
        </w:tc>
        <w:tc>
          <w:tcPr>
            <w:tcW w:w="1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rPr>
          <w:tblCellSpacing w:w="15" w:type="dxa"/>
        </w:trPr>
        <w:tc>
          <w:tcPr>
            <w:tcW w:w="813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Содержится подробное описание навигационной системы MMQ-G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vertAlign w:val="superscript"/>
                <w:lang w:val="en-US" w:eastAsia="zh-CN" w:bidi="ar"/>
              </w:rPr>
              <w:t>TM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, в которой используются кварцевые датчики угловой скорости и доступные, серийно изготавливаемые электронные компоненты, позволившие создать миниатюрную надежную систему ИНС/GPS. Приводится конструкции системы с подробным описанием электрических схем и механических узлов.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Представлены результаты испытаний, проведенных в реальных условиях. Приведены графики. Анализируется поведение системы до потери сигнала от GPS на интервале времени, когда GPS недоступна, и, наконец, реакция системы на восстановление сигнала от GPS и возобновление коррекции системы от GPS с помощью фильтра Калмана. В конце статьи представлены результаты испытаний, подтверждающие точность и надежность системы MMQ-G.</w:t>
            </w:r>
          </w:p>
        </w:tc>
        <w:tc>
          <w:tcPr>
            <w:tcW w:w="168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3"/>
        <w:gridCol w:w="5347"/>
        <w:gridCol w:w="344"/>
      </w:tblGrid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Р.Станчич, С.Граовац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Интегрирование бесплатформенной инерциальной навигационной системы низкой точности и GPS, концепция и результаты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Представлена концепция прототипа бесплатформенной инерциальной навигационной системы, интегрированной с GPS (БИНС/GPS. Описаны алгоритмы навигации, ориентации и интеграции. На основе экспериментальных данных проведен анализ влияния маневра объекта и выбора коэффициентов демпфирования ошибок БИНС на точность навигационной системы.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3"/>
        <w:gridCol w:w="5347"/>
        <w:gridCol w:w="344"/>
      </w:tblGrid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В.Никулин, Д. Софка, В. Скормин, Д. Хьюз, Д. Лизар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Демонстрация оптической связи между двумя мобильными платформами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Успешное выполнение задач наведения, обнаружения и отслеживания необходимо для реализации лазерной связи между мобильными системами воздушного и наземного базирова-ния. Рассматриваемая здесь технология имеет преимущества над традиционной радиосвязью. В статье описана система обеспечивающая двунаправленную связь между мобильными наземными станциями. Эта система производит стабилизацию оптической платформы и начальное позиционирование лазерного пучка; оптическое слежение, обеспечивающее связь по линии прямой видимости и отслеживания взаимного расположения устройств при потере прямой видимости. Также описаны некоторые компоненты, особенности их интеграции и представлены результаты лабораторного тестирования готовой системы в условиях, имитирующих движение наземных транспортных средств.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3"/>
        <w:gridCol w:w="5347"/>
        <w:gridCol w:w="344"/>
      </w:tblGrid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Г.И.Емельянцев, Л.П.Несенюк, Б.А.Блажнов, А.П.Степанов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Об особенностях калибровки бескарданного инерциального модуля на волоконно-оптических или микромеханических гироскопах в составе интегрированной системы в условиях орбитального полета космического аппарата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Исследуются алгоритмы и погрешности работы интегрированной системы ориентации и навигации (ИСОН) в условиях орбитального полета космического аппарата (КА). Рассматриваются калибровочный и автономный режимы работы ИСОН, особенности связи задач навигации и ориентации в условиях движения КА, вопросы декомпозиции фильтра Калмана, калибровки смещений нулей гироскопов и акселерометров, а также погрешностей масштабных коэффициентов гироскопов в условиях полета КА при изменении его углового положения относительно орбитальной системы координат.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Приводятся данные имитационного моделирования работы ИСОН (задач ориентации и навигации) с учетом угловых колебаний КА на пассивном и активном (при коррекции орбиты) участках орбиты.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3"/>
        <w:gridCol w:w="5347"/>
        <w:gridCol w:w="344"/>
      </w:tblGrid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В.И.Кулакова, А.В.Небылов, О.А.Степанов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Применение Н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vertAlign w:val="subscript"/>
                <w:lang w:val="en-US" w:eastAsia="zh-CN" w:bidi="ar"/>
              </w:rPr>
              <w:t>2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/Н</w:t>
            </w:r>
            <w:r>
              <w:rPr>
                <w:rFonts w:ascii="Symbol" w:hAnsi="Symbol" w:eastAsia="SimSun" w:cs="Symbol"/>
                <w:b/>
                <w:caps w:val="0"/>
                <w:spacing w:val="0"/>
                <w:kern w:val="0"/>
                <w:sz w:val="20"/>
                <w:szCs w:val="20"/>
                <w:vertAlign w:val="subscript"/>
                <w:lang w:val="en-US" w:eastAsia="zh-CN" w:bidi="ar"/>
              </w:rPr>
              <w:t>¥</w:t>
            </w: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подхода в задаче авиационной гравиметрии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53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Рассматривается задача построения алгоритма оценивания аномалии ускорения силы тяжести (УСТ) на борту летательного аппарата при использовании измерений гравиметра и дан-ных об изменениях высоты от спутниковой навигационной системы. Предлагается подход, ос-нованный на смешанной Н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/Н</w:t>
            </w:r>
            <w:r>
              <w:rPr>
                <w:rFonts w:hint="default" w:ascii="Symbol" w:hAnsi="Symbol" w:eastAsia="SimSun" w:cs="Symbol"/>
                <w:caps w:val="0"/>
                <w:spacing w:val="0"/>
                <w:kern w:val="0"/>
                <w:sz w:val="20"/>
                <w:szCs w:val="20"/>
                <w:vertAlign w:val="subscript"/>
                <w:lang w:val="en-US" w:eastAsia="zh-CN" w:bidi="ar"/>
              </w:rPr>
              <w:t>¥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 оптимизации. Отмечается, что при использовании этого подхо-да не требуется знания спектральной плотности для аномалий УСТ, а априорная информация может быть задана в виде двух параметров: дисперсии аномалии УСТ и дисперсии ее первой производной. Показано, что подобный фильтр может быть достаточно просто реализован и с его помощью гарантируется достижение точности, близкой к потенциальной.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3"/>
        <w:gridCol w:w="5347"/>
        <w:gridCol w:w="344"/>
      </w:tblGrid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Я.И.Биндер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 компенсации возмущений бесплатформенного гироинклинометра в процессе непрерывной съемки скважин малого диаметра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Предлагаемая работа продолжает серию публикаций и выступлений, представляемых в течение последних пяти лет группой разработчиков систем подземной навигации во главе с автором, и посвящается проблемам съемки скважин гироскопическим инклинометром на основе аналитического гироскопа направления. Принципиально новая постановка задачи, предложенная в статье, основывается на привлечении дополнительной информации от средств измерений, либо уже присутствующих в ГИ системах (кабельный одометр), либо, без больших осложнений, в нее вводимых (ММГ). Приведенные предварительные оценки новых возможностей в выработке углов зенита и отклонителя позволяют надеяться, что при переходе от постановки задачи к исследованию и реализации ее решения, действительно будут получены новые эксплуатационные и точностные характеристики непрерывной гироинклинометрической съемки.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3"/>
        <w:gridCol w:w="5347"/>
        <w:gridCol w:w="344"/>
      </w:tblGrid>
      <w:tr>
        <w:trPr>
          <w:tblCellSpacing w:w="15" w:type="dxa"/>
        </w:trPr>
        <w:tc>
          <w:tcPr>
            <w:tcW w:w="26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М.Г.Максимов, А.Н.Шевченко</w:t>
            </w:r>
          </w:p>
        </w:tc>
        <w:tc>
          <w:tcPr>
            <w:tcW w:w="53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Компьютеризированный стенд для регулирования и контроля встроенной системы термо-стабилизации электростатического гироскопа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72</w:t>
            </w:r>
          </w:p>
        </w:tc>
      </w:tr>
      <w:tr>
        <w:trPr>
          <w:tblCellSpacing w:w="15" w:type="dxa"/>
        </w:trPr>
        <w:tc>
          <w:tcPr>
            <w:tcW w:w="800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Показан общий подход к компьютеризации стендового оборудования, рассмотрены конкретные вопросы, решенные при модернизации стенда для регулирования и контроля встроенной системы термостабилизации электростатического гироскопа.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Рассматриваются особенности применения компьютерных систем сбора и обработки данных на примере модернизации стенда для регулирования и контроля ВСТ электростатического гироскопа.</w:t>
            </w:r>
          </w:p>
        </w:tc>
        <w:tc>
          <w:tcPr>
            <w:tcW w:w="29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0"/>
          <w:szCs w:val="20"/>
        </w:rPr>
        <w:t>Юбилейная Х конференция молодых ученых</w:t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0"/>
          <w:szCs w:val="20"/>
        </w:rPr>
        <w:t>«Навигация и управление движением» 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Рефераты докладов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79</w:t>
            </w:r>
          </w:p>
        </w:tc>
      </w:tr>
      <w:tr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0"/>
          <w:szCs w:val="20"/>
        </w:rPr>
        <w:t>Международная общественная организация</w:t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t>«Академия навигации и управления движением»</w:t>
      </w: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b/>
          <w:i/>
          <w:caps w:val="0"/>
          <w:color w:val="000000"/>
          <w:spacing w:val="0"/>
          <w:sz w:val="20"/>
          <w:szCs w:val="20"/>
        </w:rPr>
        <w:t>Официальная информация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Выездное заседание Президиума Академии в г. Серпухов Московской области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111</w:t>
            </w:r>
          </w:p>
        </w:tc>
      </w:tr>
      <w:tr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Будущее сильной России - в высоких технологиях (о научно-практической конференции старшеклассников)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113</w:t>
            </w:r>
          </w:p>
        </w:tc>
      </w:tr>
      <w:tr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0"/>
          <w:szCs w:val="20"/>
        </w:rPr>
        <w:t>Информация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i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О.А.Степанов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Международный форум по спутниковой навигации 2008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115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117</w:t>
            </w:r>
          </w:p>
        </w:tc>
      </w:tr>
      <w:tr>
        <w:trPr>
          <w:tblCellSpacing w:w="15" w:type="dxa"/>
        </w:trPr>
        <w:tc>
          <w:tcPr>
            <w:tcW w:w="8335" w:type="dxa"/>
            <w:gridSpan w:val="2"/>
            <w:shd w:val="clear"/>
            <w:vAlign w:val="center"/>
          </w:tcPr>
          <w:p>
            <w:pPr>
              <w:jc w:val="both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after="240" w:afterAutospacing="0"/>
        <w:jc w:val="left"/>
        <w:rPr>
          <w:sz w:val="20"/>
          <w:szCs w:val="20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i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20"/>
                <w:szCs w:val="20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4E9F2F5D"/>
    <w:rsid w:val="4FB70B70"/>
    <w:rsid w:val="671F2914"/>
    <w:rsid w:val="6DDFC21F"/>
    <w:rsid w:val="75FD0A7B"/>
    <w:rsid w:val="76EA56FA"/>
    <w:rsid w:val="77BDEB88"/>
    <w:rsid w:val="77DCAD69"/>
    <w:rsid w:val="79EEBE5C"/>
    <w:rsid w:val="7CDEBB61"/>
    <w:rsid w:val="7CFB5884"/>
    <w:rsid w:val="7DB6477A"/>
    <w:rsid w:val="7DBB4834"/>
    <w:rsid w:val="7DF749F9"/>
    <w:rsid w:val="7DFDB09B"/>
    <w:rsid w:val="7EFF3EA8"/>
    <w:rsid w:val="7FA36489"/>
    <w:rsid w:val="7FB34FE5"/>
    <w:rsid w:val="9F7FE6AF"/>
    <w:rsid w:val="AF7B288B"/>
    <w:rsid w:val="B5D7706E"/>
    <w:rsid w:val="BB8B6115"/>
    <w:rsid w:val="BBCEFE42"/>
    <w:rsid w:val="BDEFF159"/>
    <w:rsid w:val="C7FF8FBB"/>
    <w:rsid w:val="CFFBF7F1"/>
    <w:rsid w:val="D6F9F3E5"/>
    <w:rsid w:val="D9CD957C"/>
    <w:rsid w:val="DBF70A47"/>
    <w:rsid w:val="DF2FB75F"/>
    <w:rsid w:val="DF5F4F31"/>
    <w:rsid w:val="E3B66E2A"/>
    <w:rsid w:val="EAFDDC03"/>
    <w:rsid w:val="ED9D3E93"/>
    <w:rsid w:val="F5FEE06F"/>
    <w:rsid w:val="F635C9E4"/>
    <w:rsid w:val="F6DF81A1"/>
    <w:rsid w:val="F9F9A9B4"/>
    <w:rsid w:val="FCEF62E1"/>
    <w:rsid w:val="FDD79F38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2018-07-26T10:55:13Z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