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18"/>
          <w:szCs w:val="18"/>
        </w:rPr>
      </w:pP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18"/>
          <w:szCs w:val="18"/>
          <w:bdr w:val="none" w:color="auto" w:sz="0" w:space="0"/>
          <w:shd w:val="clear" w:fill="FFFFFF"/>
        </w:rPr>
        <w:t>ПЕРЕЧЕНЬ МАТЕРИАЛОВ, ОПУБЛИКОВАННЫХ В ЖУРНАЛЕ "ГИРОСКОПИЯ И НАВИГАЦИЯ" В 2015 г.</w:t>
      </w:r>
    </w:p>
    <w:tbl>
      <w:tblPr>
        <w:tblW w:w="7744" w:type="dxa"/>
        <w:jc w:val="center"/>
        <w:tblCellSpacing w:w="75" w:type="dxa"/>
        <w:tblInd w:w="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1"/>
        <w:gridCol w:w="507"/>
        <w:gridCol w:w="1296"/>
      </w:tblGrid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стр.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Аллан Д. У.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Вариации Аллана: история создания, преимущества и недостатки, основные области применения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Ардюков Д.Г., Е.Н.Калиш, Д.А.Носов, И.С.Сизиков, М.Г.Смирнов, Ю.Ф.Стусь, В.Ю. Тимофеев, Р.Г.Кулинич, М.Г.Валитов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Измерения абсолютного значения ускорения силы тяжести на мысе Шульца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Басараб М.А., Б.С.Лунин, В.А.Матвеев, Е.А. Чуманкин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Балансировка полусферических резонаторов волновых твердотельных гироскопов методом химического травления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Болотин Ю.В., В.С.Вязьмин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Методы </w:t>
            </w: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</w:t>
            </w:r>
            <w:r>
              <w:rPr>
                <w:rFonts w:ascii="SimSun" w:hAnsi="SimSun" w:eastAsia="SimSun" w:cs="SimSun"/>
                <w:i/>
                <w:kern w:val="0"/>
                <w:sz w:val="18"/>
                <w:szCs w:val="18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и минимаксного оценивания в задаче определения аномалии силы тяжести по данным аэрогравиметрии с использованием сферического вейвлет-разложения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Бордачев Д.А. , А.А. Волынцев, П.А. Илюшин, Б.А. Казаков, И.Е. Шустов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Результаты наземной отработки прецизионного гироскопического измерителя угловой скорости космического аппарата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Букин А. Г., А. С. Лычагов, Р. Н. Садеков, О. А. Славин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Аппаратно-программный комплекс компьютерного зрения для решения задач навигации наземных подвижных объектов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Ван В., Ч. Ло, Ж.Сюэ, Д. Ли, С. Син,Ч. Ма, Ч.Чжан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Прогресс в разработке бесплатформенного лазерного аэрогравиметра в Китае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Витушкин Л.Ф.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Абсолютные баллистические гравиметры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Горбачев О.А., В.Т.Залуцкий, В.Б. Иванов, Д.В. Хазанов, А.А. Холмогоров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Оценка качества модели полного электронного содержания GEMTEC при автономном определении местоположения в глобальных навигационных спутниковых системах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Деревянкин А. В., А. И. Матасов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конечном алгоритме определения местоположения объекта по разностям измерений псевдодальностей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Дзюба А.Н., А.В.Лопарев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Нестационарный алгоритм коррекции гировертикали авиационного гравиметра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Довгоброд Г.М.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Формирование гладкой исполнительной траектории в реальном масштабе времени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Дубровин Ф.С., А.Ф. Щербатюк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Исследование некоторых алгоритмов одномаяковой мобильной навигации АНПА: результаты моделирования и морских испытаний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Дэвидсон П., М. Киркко-Яаккола, Ю. Коллин, Я. Такала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Навигационный алгоритм с использованием планов зданий и данных автономных датчиков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Евстифеев М.И., Д.П.Елисеев, И.Б.Челпанов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Микромеханический гироскоп RR-типа с подвижным электродом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Б.А.Блажнов, А.П.Степанов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возможности определения УОЛ в высоких широтах с использованием прецизионного инерциального модуля и двухантенной спутниковой аппаратуры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Емельянцев Г.И., А.П. Степанов, Б.А. Блажнов , И.В. Семёнов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повышении точности GPS-компаса для малоразмерных объектов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Измайлов Е. А., С. Е. Кухтевич, В. В. Тихомиров, Д. В. Стафеев, А.В.Фомичев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Анализ составляющих дрейфа лазерного гироскопа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Карпик А. П., И. Г. Ганагина, Н. С. Косарев, Д. Н. Голдобин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Навигационно-информационная система точного позиционирования транспорта с использованием наземной инфраструктуры ГЛОНАСС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Климкович Б.В., А.М. Толочко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Учет size-эффекта при калибровке БИНС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Климкович Б.В., А.М.Толочко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Определение запаздываний в измерительных каналах при калибровке БИНС в инерциальном режиме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Кошаев Д.А.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Проблемы избытка и недостатка измерений ГНСС в специальных задачах вторичной обработки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Курбатов А.М.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новых путях совершенствования волоконно-оптических гироскопов с открытым и закрытым контуром обратной связи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Кутовой В.М., О.И. Маслова, С.Ю. Перепелкина, А.А. Федотов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 вопросу оценки шумовых составляющих измерительного тракта по методу вариации Аллана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Краснов А.А., А.В. Соколов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Современный комплекс программно-математического обеспечения мобильного гравиметра «Чекан-АМ»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Лобанов В.С., Н.В. Тарасенко, В.Н. Зборошенко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Направления развития систем ориентации и стабилизации космических аппаратов различного назначения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Лю Ю. , Т. Цай, Х. Ян, Ч. Лю, Ц. Сун, М. Юй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Интегрированная пешеходная навигационная система с микро ИИМ/GPS/ магнетометром/баровысотомером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Маслов А.А., Д.А. Маслов, И.В.Меркурьев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Нелинейные эффекты в динамике цилиндрического резонатора волнового твердотельного гироскопа с электростатической системой управления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Мкртычян А.Р., Н.И. Башкеев, Д.О. Якимовский, Д.И. Акашев, О.Б. Яковец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Современное состояние и перспективы развития силовых гироскопических комплексов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Попп С., Профет, Г. Шольц, Г.Ф. Троммер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Новая система навигации и наведения микролетательных аппаратов, способных беспрепятственно проникать в здания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Рефан М. Х., А. Дамешхи, М. Камарзаррин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Использование рекуррентных нейронных сетей и генетического алгоритма для предсказания дифференциальных поправок к псевдодальностям GPS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Ривкин Б.С.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е-Навигации – десять лет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Романенко С.Г., Г.И. Емельянцев, Б.Е. Ландау, С.Л. Левин, А.А. Медведков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эффективности модуляционного вращения корпуса бескарданного электростатического гироскопа в полярной ориентации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Саркар С., А. Босе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Изучение точности решений ГЛОНАСС на территории Индии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Сизов В.П., В.А. Погорелов, Ю.В. Вахтин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Влияние вращения на параметры упругих волн, распространяющихся в подложке твердотельного гироскопа на акустических волнах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Смоллер Ю.Л., С.Ш. Юрист, А.А. Голован, Л.Ю. Якушик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Алгоритмические аспекты применения многоантенных GPS-приемников в аэрогравиметре GT-2А для съемок в полярных районах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Соколов А.В., А.А. Краснов, Л.С. Элинсон, В.А. Васильев, Л.К. Железняк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Калибровка гравиметра «Чекан-АМ» методом наклона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А.П., Г.И. Емельянцев, Б.А. Блажнов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 эффективности модуляционных поворотов измерительного модуля БИНС на ВОГ морского применения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Д.А.Кошаев, А.В.Моторин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Идентификация параметров модели аномалии в задаче авиационной гравиметрии методами нелинейной фильтрации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А.Б.Торопов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Методы нелинейной фильтрации в задаче навигации по геофизическим полям. Ч. 1. Обзор алгоритмов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Степанов О.А., А.Б.Торопов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Методы нелинейной фильтрации в задаче навигации по геофизическим полям. Часть 2. Современные тенденции развития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Форсберг Р., А.В. Олесен, И. Эйнарссон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Проведение аэрогравиметрических измерений гравиметрами «ЛаКоста-Ромберг» и «Чекан-АМ» с целью определения геоида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Чжао И., М. Беккер, Д. Беккер, С. Ляйнен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Сильносвязанное комплексирование приращений фазовых GPS-измерений и данных бюджетного инерциального МЭМС-блока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Шольц Г., Г.Ф. Троммер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Модельное управление квадрокоптерами с поворотными роторами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Краткие сообщения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Коваль А.В.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Моделирование гравиметрических измерений гироскопическим интегратором линейных ускорений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Соколов А.В., А.А.Краснов, Л.П.Старосельцев, А.Н.Дзюба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Разработка системы гироскопической стабилизации на волоконно-оптических гироскопах для аэроморского гравиметра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Международная общественная организация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«Академия навигации и управления движением»</w:t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 ф и ц и а л ь н а я   и н ф о р м а ц и 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Академии навигации и управления движением – 20 лет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Информационное сообщение о XXXIX Общем собрании Международной общественной организации «Академия навигации и управления движением»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Информационное сообщение о XVII конференции молодых ученых «Навигация и управление движением»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XL Общее собрание академии навигации и управления движением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</w:tr>
      <w:tr>
        <w:trPr>
          <w:tblCellSpacing w:w="75" w:type="dxa"/>
          <w:jc w:val="center"/>
        </w:trPr>
        <w:tc>
          <w:tcPr>
            <w:tcW w:w="74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_____________________________________________________________________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Информация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i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Пише Р.</w:t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Международная конференция по позиционированию и навигации внутри помещений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XXII Санкт-Петербургская международная конференция по интегрированным навигационным системам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rPr>
          <w:tblCellSpacing w:w="75" w:type="dxa"/>
          <w:jc w:val="center"/>
        </w:trPr>
        <w:tc>
          <w:tcPr>
            <w:tcW w:w="5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Российские и международные конференции, симпозиумы и выставки</w:t>
            </w:r>
          </w:p>
        </w:tc>
        <w:tc>
          <w:tcPr>
            <w:tcW w:w="357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1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SimSun" w:hAnsi="SimSun" w:eastAsia="SimSun" w:cs="SimSun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0AABC0FC"/>
    <w:rsid w:val="1ECF75C3"/>
    <w:rsid w:val="23F55EF6"/>
    <w:rsid w:val="23FC6E3B"/>
    <w:rsid w:val="2AFE31B7"/>
    <w:rsid w:val="2DFFEC74"/>
    <w:rsid w:val="3B996175"/>
    <w:rsid w:val="3EBED115"/>
    <w:rsid w:val="3FED7360"/>
    <w:rsid w:val="4E9F2F5D"/>
    <w:rsid w:val="4FB70B70"/>
    <w:rsid w:val="5B7393E0"/>
    <w:rsid w:val="5F77C1E4"/>
    <w:rsid w:val="5FBD474F"/>
    <w:rsid w:val="671F2914"/>
    <w:rsid w:val="6DD3B806"/>
    <w:rsid w:val="6DDFC21F"/>
    <w:rsid w:val="6FCDCC8A"/>
    <w:rsid w:val="75FD0A7B"/>
    <w:rsid w:val="75FF0FC7"/>
    <w:rsid w:val="76EA56FA"/>
    <w:rsid w:val="76F07E2A"/>
    <w:rsid w:val="77A1F959"/>
    <w:rsid w:val="77BDEB88"/>
    <w:rsid w:val="77DCAD69"/>
    <w:rsid w:val="79EEBE5C"/>
    <w:rsid w:val="7ABE59FB"/>
    <w:rsid w:val="7B5EA9C8"/>
    <w:rsid w:val="7CDEBB61"/>
    <w:rsid w:val="7CDF5A42"/>
    <w:rsid w:val="7CFB5884"/>
    <w:rsid w:val="7DAF612B"/>
    <w:rsid w:val="7DB6477A"/>
    <w:rsid w:val="7DBB4834"/>
    <w:rsid w:val="7DC9DD11"/>
    <w:rsid w:val="7DF749F9"/>
    <w:rsid w:val="7DFDB09B"/>
    <w:rsid w:val="7FA36489"/>
    <w:rsid w:val="7FB34FE5"/>
    <w:rsid w:val="7FD7CA95"/>
    <w:rsid w:val="7FFB617F"/>
    <w:rsid w:val="7FFF361B"/>
    <w:rsid w:val="867F0FBA"/>
    <w:rsid w:val="9F7FE6AF"/>
    <w:rsid w:val="A55F25E4"/>
    <w:rsid w:val="AF7B288B"/>
    <w:rsid w:val="AFEACC67"/>
    <w:rsid w:val="B5D7706E"/>
    <w:rsid w:val="B7E70E1F"/>
    <w:rsid w:val="BAFB26CB"/>
    <w:rsid w:val="BB8B6115"/>
    <w:rsid w:val="BBCEFE42"/>
    <w:rsid w:val="BC37BC89"/>
    <w:rsid w:val="BDEFF159"/>
    <w:rsid w:val="C7FF8FBB"/>
    <w:rsid w:val="CFFBF7F1"/>
    <w:rsid w:val="D6F9F3E5"/>
    <w:rsid w:val="D7BB3817"/>
    <w:rsid w:val="D7BFCA3C"/>
    <w:rsid w:val="D9CD957C"/>
    <w:rsid w:val="D9E6AF77"/>
    <w:rsid w:val="DBF70A47"/>
    <w:rsid w:val="DF2FB75F"/>
    <w:rsid w:val="DF5F4F31"/>
    <w:rsid w:val="DF7FA66D"/>
    <w:rsid w:val="E1B972DC"/>
    <w:rsid w:val="E3B66E2A"/>
    <w:rsid w:val="EAFDDC03"/>
    <w:rsid w:val="EBFF929B"/>
    <w:rsid w:val="ED9D3E93"/>
    <w:rsid w:val="EEFFC238"/>
    <w:rsid w:val="EFDBD7E2"/>
    <w:rsid w:val="EFF47682"/>
    <w:rsid w:val="F5FEE06F"/>
    <w:rsid w:val="F635C9E4"/>
    <w:rsid w:val="F6DF81A1"/>
    <w:rsid w:val="F9DB39BD"/>
    <w:rsid w:val="F9F9A9B4"/>
    <w:rsid w:val="FAEBF000"/>
    <w:rsid w:val="FCEF62E1"/>
    <w:rsid w:val="FDD79F38"/>
    <w:rsid w:val="FDE1F495"/>
    <w:rsid w:val="FE632BDE"/>
    <w:rsid w:val="FE6ED5C5"/>
    <w:rsid w:val="FE7F89DB"/>
    <w:rsid w:val="FF33B024"/>
    <w:rsid w:val="FFA7B8BF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2018-07-26T12:22:32Z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