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sz w:val="16"/>
          <w:szCs w:val="16"/>
        </w:rPr>
      </w:pPr>
      <w:bookmarkStart w:id="0" w:name="_GoBack"/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"Гироскопия и навигация" №1 (44), 2004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СОДЕРЖАНИЕ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1"/>
        <w:gridCol w:w="5444"/>
        <w:gridCol w:w="199"/>
      </w:tblGrid>
      <w:tr>
        <w:trPr>
          <w:tblCellSpacing w:w="15" w:type="dxa"/>
        </w:trPr>
        <w:tc>
          <w:tcPr>
            <w:tcW w:w="2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Я.И. Биндер, Т.В. Падерина</w:t>
            </w:r>
          </w:p>
        </w:tc>
        <w:tc>
          <w:tcPr>
            <w:tcW w:w="5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Бесплатформенный гироинклинометр с ориентацией главной оси двухмерного датчика угловой скорости в плоскости 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поперечного сечения скважины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rPr>
          <w:tblCellSpacing w:w="15" w:type="dxa"/>
        </w:trPr>
        <w:tc>
          <w:tcPr>
            <w:tcW w:w="81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Предлагается схема построения гироинклинометра с расположением вектора кинетического момента роторного датчика угловой скорости (ДУС) перпендикулярно продольной оси скважины. Показывается, что такая одногироскопная схема, называемая авторами "поперечной", в сочетании с простейшими методическими (или конструктивными) приемами позволяет при точечном компасировании снять ограничения на положение скважины в горизонтальной плоскости, характерные для общепринятой ("осевой") ориентации двухосного ДУС.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О.А.Степанов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Связь алгоритмов оптимальной стационарной фильтрации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 сглаживания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Исследуется связь алгоритмов фильтрации и сглаживания при решении задач оценивания процессов, описываемых стационарными формирующими фильтрами. Обсуждаются пути построения экономичного алгоритма совместного решения этих задач, основанного на использовании оценок фильтрации и их последующей обработке в фильтре калмановского типа в обратном времени. В частности, показано, что минимальная размерность вектора, представляющего собой линейную комбинацию компонент вектора оценок фильтрации и обрабатываемого в обратном времени, совпадает с размерностью вектора порождающих шумов в формирующем фильтре. В частном случае, когда оцениванию подлежит процесс, описываемый стационарным уравнением с одним порождающим шумом, запоминаемая и обрабатываемая в обратном времени реализация является скалярным процессом. Если, кроме того, ошибка измерения представляет собой белый шум, а измеряемый и оцениваемый процессы совпадают, то фильтры для прямого и обратного времени одинаковые. Для этого случая получено соотношение, фактически устанавливающее связь передаточных функций для задач фильтрации и сглаживания и представляющее собой обобщение соотношения (1.9) на более общий случай, когда сами процессы не являются стационарными с заданными спектральными плотностями, а описываются с помощью стационарных формирующих фильтров. Рассматриваются примеры, иллюстрирующие полученные результаты.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М.И.Евстифеев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Проблемы расчета и проектирования микромеханических гироскопов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Рассматриваются проблемы, возникающие при разработке конструкций микромеханических гироскопов. Приведены аналитические соотношения и результаты конечно-элементного анализа для оценки параметров конструкции. Показана взаимосвязь проблем проектирования со спецификой используемых микроэлектронных технологий.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Р.Л.Воскобойников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Механизм синхронизации независимых автовозбужденных электромагнитных потоков, ортогонально расположенных в электрической машине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Показано, что между почти одинаковыми автономными автогенераторами электромагнитных потоков, расположенными ортогонально в замкнутом ферромагнитном пространстве кольцевого магнитопровода электрической машины, возникает нетрансформаторная взаимосвязь, которая обусловливает фазовую синхронизацию потоков с образованием кругового вращающегося электромагнитного поля.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Материалы X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А.А.Волынцев, Л.А.Дудко,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Б.А.Казаков, В.В.Козлов, А.П.Мезенцев,</w:t>
            </w:r>
          </w:p>
          <w:tbl>
            <w:tblPr>
              <w:tblW w:w="1932" w:type="dxa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32"/>
            </w:tblGrid>
            <w:tr>
              <w:trPr>
                <w:tblCellSpacing w:w="0" w:type="dxa"/>
              </w:trPr>
              <w:tc>
                <w:tcPr>
                  <w:tcW w:w="19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 В.И.Решетников,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Д.Н.Дибров, В.С.Рыжков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Опыт создания высокоточных поплавковых гироприборов, применяемых в системах угловой ориентации и стабилизации космических аппаратов и станций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Рассматриваются аспекты построения высокоточных бесплатформенных инерциальных блоков, предназначенных для работы в системе управления угловой ориентацией космических аппаратов. Отмечены конструктивные особенности приборов, принципы построения системы термостатирования гироскопов и прецизионных электронных устройств, реализованные способы достижения повышенной надежности и длительного ресурса работы. Приведены основные тактико-технические характеристики приборов. Дана оценка результатов эксплуатации приборов в составе космических аппаратов различного назначения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А.Жанруа, П.Фатонби, Ж.-М.Карон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Недорогой малогабаритный ИИМ средней точности с вибрационными датчиками для тактических применений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Представлены новые результаты, касающиеся точностных характеристик гироскопа "Квапазон", состоящего из четырех прямоугольных вибрирующих стержней. Сейчас "Квапазон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ТМ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" выпускается серийно и широко используется. Также рассматриваются два других вибрационных инерциальных датчика: гироскоп с полусферическим резонатором, на который затрачены огромные усилия с целью его удешевления без потери точности и вибрационный акселерометр. Эти датчики предполагается использовать вместе в малогабаритном инерциальном измерительном модуле (ИИМ) средней точности, предназначенном для различных применений.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Ю.Н.Коркишко, В.А.Федоров, В.Е.Прилуцкий, В.Г.Пономарев, 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М.А Фенюк, В.Г.Марчук, С.М.Кострицкий, Е.М.Падерин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Высокоточный волоконно-оптический гироскоп с линейным цифровым выходом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Рассматриваются вопросы проектирования и постановки на промышленное производство волоконно-оптических гироскопов (ВОГ) высокой точности с замкнутым контуром обратной связи, пригодных для использования в инерциальных системах космической навигации. Представлен общий подход к компоновке оптического тракта ВОГ замкнутого типа с элементами интегральной оптики, отвечающий нынешнему уровню собственной технологической базы, описаны особенности структурных схем и электронных средств обработки сигнал.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Б.Штилер, К.Эпплер, Т.Гарбер, А.Костиков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Использование гироскопов для повышения точности наведения центральной точки рабочего инструмента промышленных роботов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Ошибки наведения промышленных роботов, т.е. ошибки позиционирования центральной точки рабочего инструмента (ЦТРИ) возникают, как правило, вследствие недостатков датчиков, наличия смещений, возникающих при сборке, и эластичности звеньев. При повторяющихся рабочих режимах с идентичными последовательностями операций при идентичных нагрузках, как в серийном производстве, многие из этих воздействий можно преодолеть проведением "обучения" перед эксплуатацией. Главное значение при этом имеет не точность датчиков, а повторяемость всех этих недостатков. Абсолютная точность наведения открывает путь к управлению ЦТРИ, начиная с проектирования, и дает возможность обеспечить лучшее обслуживание и взаимозаменяемость устройств. Для этого требуется интенсивная компенсация всех вышеупомянутых недостатков при изготовлении и обслуживании робота. Гироскопы, установленные около ЦТРИ, обеспечивают удобное и точное решение этой задачи. Один комплект гироскопов позволяет осуществить калибровку датчиков углового положения во всех звеньях кинематической цепи. Эластичность всех звеньев кинематической цепи и все дефекты сборки выявляются при сравнении выходных данных, полученных этим комплектом гироскопов, с выходными данными датчиков робота или задающими воздействиями с учетом матрицы Якоби. Результаты калибровки сохраняются для компенсации во время эксплуатации. Данная концепция проверяется моделированием и экспериментами.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С.Ф.Былинкин, В.В.Лещев, В.В.Лосев, С.А.Зотов, Ю.В.Иванов, В.Я.Распопов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Акселерометры серии АТ. Состояние и перспективы разработок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Рассматриваются вопросы теории и практики проектирования и экспериментальных исследований микромеханических акселерометров серии АТ. Приведены уравнения движения чувствительного элемента и передаточные функции, позволяющие исследовать его динамику. Представлены схемы и передаточные функции электронного блока акселерометра. Рассматриваются конструктивные и технологические особенности формирования момента обратной связи. Приводятся технико-экономические характеристики акселерометров серии АТ.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3"/>
        <w:gridCol w:w="5288"/>
        <w:gridCol w:w="434"/>
      </w:tblGrid>
      <w:tr>
        <w:trPr>
          <w:tblCellSpacing w:w="15" w:type="dxa"/>
        </w:trPr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С.Ф.Коновалов, А.В.Кулешов, Н.А.Носов, В.П.Подчезерцев, В.В.Фатеев, Е.Н.Фролов, К.Б.Квон, С.В.Нам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Вибрационные датчики угловой скорости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</w:tr>
      <w:tr>
        <w:trPr>
          <w:tblCellSpacing w:w="15" w:type="dxa"/>
        </w:trPr>
        <w:tc>
          <w:tcPr>
            <w:tcW w:w="7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Представлена информация о разработке и исследовании трех вибрационных датчиков угловой скорости, которые построены по схеме роторного вибрационного гироскопа и предназначены для применения в канале управления вращающегося объекта. Приведены результаты теоретического и экспериментального исследований этих датчиков; получены формулы, характеризующие выходной сигнал в функции от измеряемой угловой скорости и всех параметров прибора, что позволило оценить точность измерения в различных условиях эксплуатации. Рассматриваются схемы конструкции и характеристики стендов для статических и динамических испытаний указанных гироскопов, в том числе и при температурных воздействиях от -60 до +90°С. Приводятся результаты аттестации стендов, термокамеры и испытаний вибрационных датчиков угловой скорости.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Материалы XХIII конференция памяти Н.Н.Острякова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3"/>
        <w:gridCol w:w="5288"/>
        <w:gridCol w:w="434"/>
      </w:tblGrid>
      <w:tr>
        <w:trPr>
          <w:tblCellSpacing w:w="15" w:type="dxa"/>
        </w:trPr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С.П.Дмитриев, Н.В.Колесов, А.В.Осипов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Контроль и диагностика информационных нарушений в навигационных системах методами многоальтернативной фильтрации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</w:tr>
      <w:tr>
        <w:trPr>
          <w:tblCellSpacing w:w="15" w:type="dxa"/>
        </w:trPr>
        <w:tc>
          <w:tcPr>
            <w:tcW w:w="7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проблема контроля и диагностики навигационных систем (НС). Вводятся понятия информационных отказов и нарушений НС. Предлагается субоптимальный алгоритм для их контроля и диагностики, основанный на методах многоальтернативной фильтрации. Алгоритм предполагает вычисление для всех нарушений апостериорных вероятностей, на основании которых принимается решение о наиболее вероятном нарушении. В алгоритме используется банк фильтров Калмана и полигауссова аппроксимация апостериорной плотности вероятности вектора состояния модели погрешности НС. Приводятся результаты моделирования предложенного алгоритма, подтверждающие его эффективность.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3"/>
        <w:gridCol w:w="5288"/>
        <w:gridCol w:w="434"/>
      </w:tblGrid>
      <w:tr>
        <w:trPr>
          <w:tblCellSpacing w:w="15" w:type="dxa"/>
        </w:trPr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А.Г.Микеров, Д.В.Самохвалов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Цифровая коррекция статических характеристик исполнительных вентильных двигателей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</w:tr>
      <w:tr>
        <w:trPr>
          <w:tblCellSpacing w:w="15" w:type="dxa"/>
        </w:trPr>
        <w:tc>
          <w:tcPr>
            <w:tcW w:w="7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цифровая реализация алгоритма коррекции инерционности усилительно-преобразовательного устройства (УПУ) вентильного двигателя (ВД), называемая в дальнейшем цифровой коррекцией. Обсуждается влияние инерционности УПУ и цифровой коррекции на регулировочные характеристики и ток потребления ВД. Предложен алгоритм цифровой коррекции инерционности УПУ для ВД с синусно-косинусным датчиком положения ротора.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  <w:t>Международная общественная организация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"Академия навигации и управления движением"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/>
          <w:i/>
          <w:caps w:val="0"/>
          <w:color w:val="000000"/>
          <w:spacing w:val="0"/>
          <w:sz w:val="18"/>
          <w:szCs w:val="18"/>
        </w:rPr>
        <w:t>Официальная 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П.М.Гацак, Ю.Н.Кормилицин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Информационное обеспечение технической эксплуатации энергетического оборудования кораблей ВМФ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</w:tr>
      <w:tr>
        <w:trPr>
          <w:tblCellSpacing w:w="15" w:type="dxa"/>
        </w:trPr>
        <w:tc>
          <w:tcPr>
            <w:tcW w:w="74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Обоснована необходимость создания в рамках единой проблемной области многоцелевого информационного обеспечения эксплуатации функциональных комплексов кораблей и профессиональной подготовки личного состава. Дана качественно новая трактовка ряда содержательных аспектов известной концепции CALS (Continuous Acquisition and Life-Cycle Support). Показана целесообразность синхронизации процессов создания и обновления CALS-ориентированных баз знаний и данных о вооружении и военной технике для обеспечения эффективной интегрированной логистической поддержки кораблей ВМФ на постпроизводственных этапах их жизненного цикла.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  <w:t>Новые книги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С.П.Дмитриев, Н.В.Колесов, А.В.Осипов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"</w:t>
            </w:r>
            <w:r>
              <w:rPr>
                <w:rFonts w:hint="default" w:ascii="Arial" w:hAnsi="Arial" w:eastAsia="SimSun" w:cs="Arial"/>
                <w:b/>
                <w:caps w:val="0"/>
                <w:color w:val="576E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/>
                <w:caps w:val="0"/>
                <w:color w:val="576E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"http://www.elektropribor.spb.ru/ru/books/rbook19.html" </w:instrText>
            </w:r>
            <w:r>
              <w:rPr>
                <w:rFonts w:hint="default" w:ascii="Arial" w:hAnsi="Arial" w:eastAsia="SimSun" w:cs="Arial"/>
                <w:b/>
                <w:caps w:val="0"/>
                <w:color w:val="576E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SimSun" w:cs="Arial"/>
                <w:b/>
                <w:caps w:val="0"/>
                <w:color w:val="576EFF"/>
                <w:spacing w:val="0"/>
                <w:sz w:val="18"/>
                <w:szCs w:val="18"/>
                <w:u w:val="none"/>
              </w:rPr>
              <w:t>Информационная надежность, контроль и диагностика навигационных систем</w:t>
            </w:r>
            <w:r>
              <w:rPr>
                <w:rFonts w:hint="default" w:ascii="Arial" w:hAnsi="Arial" w:eastAsia="SimSun" w:cs="Arial"/>
                <w:b/>
                <w:caps w:val="0"/>
                <w:color w:val="576E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"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Ю.А.Голландцев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"</w:t>
            </w:r>
            <w:r>
              <w:rPr>
                <w:rFonts w:hint="default" w:ascii="Arial" w:hAnsi="Arial" w:eastAsia="SimSun" w:cs="Arial"/>
                <w:b/>
                <w:caps w:val="0"/>
                <w:color w:val="576E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/>
                <w:caps w:val="0"/>
                <w:color w:val="576E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"http://www.elektropribor.spb.ru/ru/books/rbook18.html" </w:instrText>
            </w:r>
            <w:r>
              <w:rPr>
                <w:rFonts w:hint="default" w:ascii="Arial" w:hAnsi="Arial" w:eastAsia="SimSun" w:cs="Arial"/>
                <w:b/>
                <w:caps w:val="0"/>
                <w:color w:val="576E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SimSun" w:cs="Arial"/>
                <w:b/>
                <w:caps w:val="0"/>
                <w:color w:val="576EFF"/>
                <w:spacing w:val="0"/>
                <w:sz w:val="18"/>
                <w:szCs w:val="18"/>
                <w:u w:val="none"/>
              </w:rPr>
              <w:t>Вентильные индукторно-реактивные двигатели</w:t>
            </w:r>
            <w:r>
              <w:rPr>
                <w:rFonts w:hint="default" w:ascii="Arial" w:hAnsi="Arial" w:eastAsia="SimSun" w:cs="Arial"/>
                <w:b/>
                <w:caps w:val="0"/>
                <w:color w:val="576EFF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"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"История  Штурманской  службы  флота  России"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5"/>
        <w:gridCol w:w="4168"/>
        <w:gridCol w:w="873"/>
      </w:tblGrid>
      <w:tr>
        <w:trPr>
          <w:tblCellSpacing w:w="15" w:type="dxa"/>
        </w:trPr>
        <w:tc>
          <w:tcPr>
            <w:tcW w:w="3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Л.К.Железняк., В.Н.Конешов,</w:t>
            </w:r>
          </w:p>
          <w:tbl>
            <w:tblPr>
              <w:tblW w:w="1272" w:type="dxa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2"/>
            </w:tblGrid>
            <w:tr>
              <w:trPr>
                <w:tblCellSpacing w:w="0" w:type="dxa"/>
              </w:trPr>
              <w:tc>
                <w:tcPr>
                  <w:tcW w:w="127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 Е.И.Попов,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Л.П.Несенюк, В.Г.Пешехонов, Л.С.Элинсон, В.Н.Ильин, Е.Б.Савельев, М.В.Чичинадзе, Е.В.Благов, И.Г.Бронштейн, А.Н.Добротворский, Ю.А.Князев, П.А.Парусников</w:t>
            </w:r>
          </w:p>
        </w:tc>
        <w:tc>
          <w:tcPr>
            <w:tcW w:w="41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Создание и внедрение гравиметров двойного назначения для измерений с морских и воздушных носителей</w:t>
            </w:r>
          </w:p>
        </w:tc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</w:tr>
      <w:tr>
        <w:trPr>
          <w:tblCellSpacing w:w="15" w:type="dxa"/>
        </w:trPr>
        <w:tc>
          <w:tcPr>
            <w:tcW w:w="7478" w:type="dxa"/>
            <w:gridSpan w:val="2"/>
            <w:shd w:val="clear"/>
            <w:vAlign w:val="center"/>
          </w:tcPr>
          <w:p>
            <w:pPr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28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155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sz w:val="18"/>
          <w:szCs w:val="18"/>
        </w:rPr>
        <w:pict>
          <v:rect id="_x0000_i1034" o:spt="1" style="height:0.7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772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4"/>
      </w:tblGrid>
      <w:tr>
        <w:trPr>
          <w:tblCellSpacing w:w="15" w:type="dxa"/>
        </w:trPr>
        <w:tc>
          <w:tcPr>
            <w:tcW w:w="7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Решением Высшей аттестационной комиссии Министерства образования Российской Федерации от 17 октября 2001 г. журнал "Гироскопия и навигация" включен в "Перечень периодических научных и научно-технических изданий, выпускаемых в Российской Федерации, в которых рекомендуется публикация основных результатов диссертаций на соискание ученой степени доктора наук" 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(Бюллетень ВАК Минобразования РФ, 2002, № 1).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55EF6"/>
    <w:rsid w:val="23FC6E3B"/>
    <w:rsid w:val="2AFE31B7"/>
    <w:rsid w:val="2DFFEC74"/>
    <w:rsid w:val="3EBED115"/>
    <w:rsid w:val="4E9F2F5D"/>
    <w:rsid w:val="4FB70B70"/>
    <w:rsid w:val="5F77C1E4"/>
    <w:rsid w:val="671F2914"/>
    <w:rsid w:val="6DD3B806"/>
    <w:rsid w:val="6DDFC21F"/>
    <w:rsid w:val="75FD0A7B"/>
    <w:rsid w:val="76EA56FA"/>
    <w:rsid w:val="76F07E2A"/>
    <w:rsid w:val="77BDEB88"/>
    <w:rsid w:val="77DCAD69"/>
    <w:rsid w:val="79EEBE5C"/>
    <w:rsid w:val="7CDEBB61"/>
    <w:rsid w:val="7CDF5A42"/>
    <w:rsid w:val="7CFB5884"/>
    <w:rsid w:val="7DB6477A"/>
    <w:rsid w:val="7DBB4834"/>
    <w:rsid w:val="7DF749F9"/>
    <w:rsid w:val="7DFDB09B"/>
    <w:rsid w:val="7FA36489"/>
    <w:rsid w:val="7FB34FE5"/>
    <w:rsid w:val="7FFF361B"/>
    <w:rsid w:val="867F0FBA"/>
    <w:rsid w:val="9F7FE6AF"/>
    <w:rsid w:val="AF7B288B"/>
    <w:rsid w:val="AFEACC67"/>
    <w:rsid w:val="B5D7706E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D9D3E93"/>
    <w:rsid w:val="EFDBD7E2"/>
    <w:rsid w:val="F5FEE06F"/>
    <w:rsid w:val="F635C9E4"/>
    <w:rsid w:val="F6DF81A1"/>
    <w:rsid w:val="F9F9A9B4"/>
    <w:rsid w:val="FCEF62E1"/>
    <w:rsid w:val="FDD79F38"/>
    <w:rsid w:val="FDE1F495"/>
    <w:rsid w:val="FE632BDE"/>
    <w:rsid w:val="FE7F89DB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2018-07-26T11:32:13Z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