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400" w:type="dxa"/>
        <w:jc w:val="center"/>
        <w:tblCellSpacing w:w="0" w:type="dxa"/>
        <w:tblInd w:w="-153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"/>
        <w:gridCol w:w="11175"/>
      </w:tblGrid>
      <w:tr>
        <w:trPr>
          <w:tblCellSpacing w:w="0" w:type="dxa"/>
          <w:jc w:val="center"/>
        </w:trPr>
        <w:tc>
          <w:tcPr>
            <w:tcW w:w="2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1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i w:val="0"/>
                <w:caps w:val="0"/>
                <w:color w:val="000000"/>
                <w:spacing w:val="0"/>
                <w:kern w:val="0"/>
                <w:sz w:val="33"/>
                <w:szCs w:val="33"/>
                <w:lang w:val="en-US" w:eastAsia="zh-CN" w:bidi="ar"/>
              </w:rPr>
              <w:t>"Гироскопия и навигация" №1, 2008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b/>
                <w:caps w:val="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aps w:val="0"/>
                <w:spacing w:val="0"/>
                <w:sz w:val="18"/>
                <w:szCs w:val="18"/>
              </w:rPr>
              <w:t>СОДЕРЖАНИЕ</w:t>
            </w: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58"/>
              <w:gridCol w:w="7018"/>
              <w:gridCol w:w="368"/>
            </w:tblGrid>
            <w:tr>
              <w:trPr>
                <w:tblCellSpacing w:w="15" w:type="dxa"/>
              </w:trPr>
              <w:tc>
                <w:tcPr>
                  <w:tcW w:w="37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Н.В.Михайлов, М.В.Васильев, В.Ф.Михайлов</w:t>
                  </w:r>
                </w:p>
              </w:tc>
              <w:tc>
                <w:tcPr>
                  <w:tcW w:w="69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Автономная навигация космических кораблей с использованием GPS</w:t>
                  </w:r>
                </w:p>
              </w:tc>
              <w:tc>
                <w:tcPr>
                  <w:tcW w:w="32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731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Настоящая статья посвящена научно-техническим основам создания БАСН и охватывает весь спектр задач, с которыми сталкиваются разработчики бортовой аппаратуры спутниковой на-вигации - анализ особенностей применения СРНС на борту ИСЗ, синтез архитектуры БАСН, методы первичной обработки сигналов в приемниках СРНС космического базирования, методы вторичной обработки измерений параметров сигналов СРНС на борту ИСЗ и принципы предполетного функционального тестирования БАСН.</w:t>
                  </w:r>
                </w:p>
              </w:tc>
              <w:tc>
                <w:tcPr>
                  <w:tcW w:w="323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40"/>
              <w:gridCol w:w="6916"/>
              <w:gridCol w:w="488"/>
            </w:tblGrid>
            <w:tr>
              <w:trPr>
                <w:tblCellSpacing w:w="15" w:type="dxa"/>
              </w:trPr>
              <w:tc>
                <w:tcPr>
                  <w:tcW w:w="36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Г.И.Джанджгава, К.А.Бахонин, Г.М.Виноградов, А.В.Требухов</w:t>
                  </w:r>
                </w:p>
              </w:tc>
              <w:tc>
                <w:tcPr>
                  <w:tcW w:w="688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Бесплатформенная инерциальная навигационная система на базе твердотельного волнового гироскопа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1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Представлены результаты разработки макетного образца бесплатформенной инерциальной навигационной системы на базе твердотельного волнового гироскопа (ТВГ) и маятниковых кремниевых акселерометров. Описана структурная схема системы. Особое внимание уделено описанию математической модели, используемой при калибровке ТВГ, и проблемам калибровки. Описаны характеристики ТВГ до и после калибровки. Также в докладе приведены результаты испытаний системы на неподвижном основании и при задании углового движения на наклонно-поворотном столе. Приведены планируемые меры по повышению точности БИНС на базе ТВГ.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3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24"/>
              <w:gridCol w:w="6930"/>
              <w:gridCol w:w="489"/>
            </w:tblGrid>
            <w:tr>
              <w:trPr>
                <w:tblCellSpacing w:w="15" w:type="dxa"/>
              </w:trPr>
              <w:tc>
                <w:tcPr>
                  <w:tcW w:w="367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А.А.Одинцов, В.Б.Васильева, Ю.Е.Наумов</w:t>
                  </w:r>
                </w:p>
              </w:tc>
              <w:tc>
                <w:tcPr>
                  <w:tcW w:w="6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Об одной схеме автономного демпфирования инерциальных навигационных систем</w:t>
                  </w:r>
                </w:p>
              </w:tc>
              <w:tc>
                <w:tcPr>
                  <w:tcW w:w="4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33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09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Рассматривается схема автономного демпфирования колебаний в каналах построения вертикали и контуре выработки широты и курса ИНС с использованием сигналов акселерометров, сглаживающих фильтров и нелинейных элементов. Показано, что сглаживающие фильтры и нелинейные элементы обеспечивают снижение влияния ускорений на ошибки контуров вертикали при маневрировании объекта и уменьшают влияние ускорений качки и шумов акселерометров. Приводится сравнительный анализ предложенной схемы демпфирования со схемой демпфирования ИНС с использованием информации от относительного лага. Показано, что в ряде случаев использование предложенной схемы автономного демпфирования может существенно повысить точность работы ИНС.</w:t>
                  </w:r>
                </w:p>
              </w:tc>
              <w:tc>
                <w:tcPr>
                  <w:tcW w:w="444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21"/>
              <w:gridCol w:w="6935"/>
              <w:gridCol w:w="488"/>
            </w:tblGrid>
            <w:tr>
              <w:trPr>
                <w:tblCellSpacing w:w="15" w:type="dxa"/>
              </w:trPr>
              <w:tc>
                <w:tcPr>
                  <w:tcW w:w="36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Г.И.Емельянцев, Б.Е.Ландау, С.Л.Левин, С.Г.Романенко</w:t>
                  </w:r>
                </w:p>
              </w:tc>
              <w:tc>
                <w:tcPr>
                  <w:tcW w:w="69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Об уточнении модели дрейфов электростатических гироскопов бескарданной инер-циальной системы ориентации и о методике их калибровки на стенде и в условиях ор-битального космического аппарата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43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1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Рассматривается режим калибровки бескарданной инерциальной системы ориентации (БИСО) на электростатических гироскопах (ЭСГ) при запуске системы в условиях орбитального космического аппарата (КА) Приводятся результаты решения рассматриваемой задачи при обработке данных наземных стендовых испытаний БИСО на ЭСГ.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38"/>
              <w:gridCol w:w="7020"/>
              <w:gridCol w:w="486"/>
            </w:tblGrid>
            <w:tr>
              <w:trPr>
                <w:tblCellSpacing w:w="15" w:type="dxa"/>
              </w:trPr>
              <w:tc>
                <w:tcPr>
                  <w:tcW w:w="35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М.А.Барулина, В.Э.Джашитов, В.М.Панкратов, М.А.Калинин, А.А.Папко</w:t>
                  </w:r>
                </w:p>
              </w:tc>
              <w:tc>
                <w:tcPr>
                  <w:tcW w:w="69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Математическая модель микромеханического акселерометра с учетом темпера-турных воздействий, термоупругого напряженно-деформированного состояния и динамических эффектов</w:t>
                  </w:r>
                </w:p>
              </w:tc>
              <w:tc>
                <w:tcPr>
                  <w:tcW w:w="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3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Построена и исследована комплексная математическая модель акселерометра и его основного микромеханического чувствительного элемента, позволяющая рассчитывать и анализировать влияние механических и температурных воздействий, геометрических, электромеханических, других характеристик и параметров акселерометра на его выходной сигнал с учетом динамических эффектов. Комплексная модель включает в себя: взаимосвязанные иерархические математические модели тепловых процессов всего акселерометра и входящего в его состав микромеханического чувствительного элемента, конечно-элементную модель для определения термоупругого напряженно-деформированного состояния микромеханического чувствительного элемента, математическую модель динамического дрейфа, обусловленного температурными и деформационными полями. Получены качественные и количественные оценки параметров тепловых процессов, напряженно-деформированного состояния и дрейфа акселерометра. Выработаны рекомендации по минимизации дрейфа.</w:t>
                  </w:r>
                </w:p>
              </w:tc>
              <w:tc>
                <w:tcPr>
                  <w:tcW w:w="441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3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12"/>
              <w:gridCol w:w="6944"/>
              <w:gridCol w:w="487"/>
            </w:tblGrid>
            <w:tr>
              <w:trPr>
                <w:tblCellSpacing w:w="15" w:type="dxa"/>
              </w:trPr>
              <w:tc>
                <w:tcPr>
                  <w:tcW w:w="36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Ю.Н.Коркишко, В.А.Федоров, В.Е.Прилуцкий, В.Г.Пономарев, В.Г.Марчук, И.В.Морев, С.М.Кострицкий, Е.М.Падерин, Л.П.Несенюк, А.С.Буравлев, Л.Г.Лисин</w:t>
                  </w:r>
                </w:p>
              </w:tc>
              <w:tc>
                <w:tcPr>
                  <w:tcW w:w="691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Волоконно-оптический гироскоп навигационного класса точности</w:t>
                  </w:r>
                </w:p>
              </w:tc>
              <w:tc>
                <w:tcPr>
                  <w:tcW w:w="4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71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1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Описан интерференционный волоконно-оптический гироскоп ОИУС-1000 с замкнутым контуром обратной связи навигационного класса точности, разработанный и изготавливаемый в Научно-производственной компании "Оптолинк". Представлены результаты измерений основных параметров гироскопа, проведенные в ЦНИИ "Электроприбор". Результаты измерений показали, что волоконно-оптический гироскоп ОИУС-1000 удовлетворяет требованиям, предъявляемым к гироскопам, используемых для построения точных навигационных систем.</w:t>
                  </w:r>
                </w:p>
              </w:tc>
              <w:tc>
                <w:tcPr>
                  <w:tcW w:w="442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3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91"/>
              <w:gridCol w:w="6964"/>
              <w:gridCol w:w="488"/>
            </w:tblGrid>
            <w:tr>
              <w:trPr>
                <w:tblCellSpacing w:w="15" w:type="dxa"/>
              </w:trPr>
              <w:tc>
                <w:tcPr>
                  <w:tcW w:w="36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Т.А.Беляева, Я.А.Некрасов, Я.В.Беляев, С.В.Багаева</w:t>
                  </w:r>
                </w:p>
              </w:tc>
              <w:tc>
                <w:tcPr>
                  <w:tcW w:w="69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Подавление квадратурной помехи в микромеханическом гироскопе RR-типа с помощью электродов, расположенных над зубцовой зоной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82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Предлагаются различные конфигурации электродов для микромеханического гироскопа (ММГ), разрабатываемого в ЦНИИ "Электроприбор", за счет которых обеспечивается формирование моментов, компенсирующих квадратурную помеху. Приводятся результаты экспериментальной проверки этого ММГ, в котором подтверждается возможность подавления квадратурной помехи на уровне чувствительного элемента. Оценен максимально возможный уровень квадратурной помехи, который может быть скомпенсирован.</w:t>
                  </w:r>
                </w:p>
              </w:tc>
              <w:tc>
                <w:tcPr>
                  <w:tcW w:w="443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87"/>
              <w:gridCol w:w="6968"/>
              <w:gridCol w:w="489"/>
            </w:tblGrid>
            <w:tr>
              <w:trPr>
                <w:tblCellSpacing w:w="15" w:type="dxa"/>
              </w:trPr>
              <w:tc>
                <w:tcPr>
                  <w:tcW w:w="36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А.С.Удовиков</w:t>
                  </w:r>
                </w:p>
              </w:tc>
              <w:tc>
                <w:tcPr>
                  <w:tcW w:w="69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Исследование размерной стабильности высокоточных сферических тонкостенных бериллиевых роторов</w:t>
                  </w:r>
                </w:p>
              </w:tc>
              <w:tc>
                <w:tcPr>
                  <w:tcW w:w="4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90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0610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720" w:right="720"/>
                    <w:jc w:val="both"/>
                    <w:rPr>
                      <w:rFonts w:hint="eastAsia"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hint="eastAsia" w:ascii="SimSun" w:hAnsi="SimSun" w:eastAsia="SimSun" w:cs="SimSun"/>
                      <w:kern w:val="0"/>
                      <w:sz w:val="18"/>
                      <w:szCs w:val="18"/>
                      <w:lang w:val="en-US" w:eastAsia="zh-CN" w:bidi="ar"/>
                    </w:rPr>
                    <w:t>Приведены результаты исследования влияния используемых технологических приемов на размерные характеристики высокоточных бериллиевых конструкций на примере различных модификаций сферических роторов электростатического гироскопа. Обосновано использование в качестве технологической операции на финишной стадии процесса изготовления, термоциклической обработки, позволяющей улучшить размерную стабильность роторов. Определены режимы термоциклирования и представлены данные по изменению во времени размерных характеристик роторов различных типов.</w:t>
                  </w:r>
                </w:p>
              </w:tc>
              <w:tc>
                <w:tcPr>
                  <w:tcW w:w="444" w:type="dxa"/>
                  <w:shd w:val="clear"/>
                  <w:vAlign w:val="center"/>
                </w:tcPr>
                <w:p>
                  <w:pPr>
                    <w:rPr>
                      <w:rFonts w:hint="eastAsia" w:ascii="SimSun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55"/>
              <w:gridCol w:w="1289"/>
            </w:tblGrid>
            <w:tr>
              <w:trPr>
                <w:tblCellSpacing w:w="15" w:type="dxa"/>
              </w:trPr>
              <w:tc>
                <w:tcPr>
                  <w:tcW w:w="98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Рефераты докладов участников молодежной секции XIV Cанкт-Петербургской международной конференции по интегрированным навигационным системам</w:t>
                  </w:r>
                </w:p>
              </w:tc>
              <w:tc>
                <w:tcPr>
                  <w:tcW w:w="12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95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1084" w:type="dxa"/>
                  <w:gridSpan w:val="2"/>
                  <w:shd w:val="clear"/>
                  <w:vAlign w:val="center"/>
                </w:tcPr>
                <w:p>
                  <w:pPr>
                    <w:jc w:val="both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aps w:val="0"/>
                <w:color w:val="000000"/>
                <w:spacing w:val="0"/>
                <w:sz w:val="18"/>
                <w:szCs w:val="18"/>
              </w:rPr>
              <w:t>Международная общественная организация</w:t>
            </w:r>
            <w:r>
              <w:rPr>
                <w:rFonts w:hint="default" w:ascii="Arial" w:hAnsi="Arial" w:cs="Arial"/>
                <w:b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aps w:val="0"/>
                <w:spacing w:val="0"/>
                <w:sz w:val="18"/>
                <w:szCs w:val="18"/>
              </w:rPr>
              <w:t>"Академия навигации и управления движением"</w:t>
            </w:r>
            <w:r>
              <w:rPr>
                <w:rFonts w:hint="default" w:ascii="Times New Roman" w:hAnsi="Times New Roman" w:cs="Times New Roman"/>
                <w:b/>
                <w:caps w:val="0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b/>
                <w:i/>
                <w:caps w:val="0"/>
                <w:color w:val="000000"/>
                <w:spacing w:val="0"/>
                <w:sz w:val="18"/>
                <w:szCs w:val="18"/>
              </w:rPr>
              <w:t>Официальная информация</w:t>
            </w: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437"/>
              <w:gridCol w:w="6425"/>
              <w:gridCol w:w="1282"/>
            </w:tblGrid>
            <w:tr>
              <w:trPr>
                <w:tblCellSpacing w:w="15" w:type="dxa"/>
              </w:trPr>
              <w:tc>
                <w:tcPr>
                  <w:tcW w:w="339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Е.И.Веремей</w:t>
                  </w:r>
                </w:p>
              </w:tc>
              <w:tc>
                <w:tcPr>
                  <w:tcW w:w="63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Конференция по применению среды MATLAB в исследованиях и обучении</w:t>
                  </w:r>
                </w:p>
              </w:tc>
              <w:tc>
                <w:tcPr>
                  <w:tcW w:w="123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103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i/>
                <w:caps w:val="0"/>
                <w:color w:val="000000"/>
                <w:spacing w:val="0"/>
                <w:sz w:val="18"/>
                <w:szCs w:val="18"/>
              </w:rPr>
              <w:t>Страницы истории</w:t>
            </w:r>
          </w:p>
          <w:tbl>
            <w:tblPr>
              <w:tblW w:w="11143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394"/>
              <w:gridCol w:w="6461"/>
              <w:gridCol w:w="1288"/>
            </w:tblGrid>
            <w:tr>
              <w:trPr>
                <w:tblCellSpacing w:w="15" w:type="dxa"/>
              </w:trPr>
              <w:tc>
                <w:tcPr>
                  <w:tcW w:w="334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Йорг Вагнер, Хельмут В.Зорг</w:t>
                  </w:r>
                </w:p>
              </w:tc>
              <w:tc>
                <w:tcPr>
                  <w:tcW w:w="643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Машина Боненбергера</w:t>
                  </w:r>
                </w:p>
              </w:tc>
              <w:tc>
                <w:tcPr>
                  <w:tcW w:w="12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107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aps w:val="0"/>
                <w:spacing w:val="0"/>
                <w:sz w:val="18"/>
                <w:szCs w:val="18"/>
              </w:rPr>
              <w:t>Информация</w:t>
            </w: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34"/>
              <w:gridCol w:w="1310"/>
            </w:tblGrid>
            <w:tr>
              <w:trPr>
                <w:tblCellSpacing w:w="15" w:type="dxa"/>
              </w:trPr>
              <w:tc>
                <w:tcPr>
                  <w:tcW w:w="9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О книге И.Е.Сипенкова, А.Ю.Филиппова, Ю.Я.Болдырева, Б.С.Григорьева, Н.Д.Заблоцкого, Г.А.Лучина, Т.В.Панич "Прецизионные газовые подшипники" (отклики читателей)</w:t>
                  </w:r>
                </w:p>
              </w:tc>
              <w:tc>
                <w:tcPr>
                  <w:tcW w:w="12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115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1084" w:type="dxa"/>
                  <w:gridSpan w:val="2"/>
                  <w:shd w:val="clear"/>
                  <w:vAlign w:val="center"/>
                </w:tcPr>
                <w:p>
                  <w:pPr>
                    <w:jc w:val="both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34"/>
              <w:gridCol w:w="1310"/>
            </w:tblGrid>
            <w:tr>
              <w:trPr>
                <w:tblCellSpacing w:w="15" w:type="dxa"/>
              </w:trPr>
              <w:tc>
                <w:tcPr>
                  <w:tcW w:w="9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Российские и международные конференции, симпозиумы и выставки</w:t>
                  </w:r>
                </w:p>
              </w:tc>
              <w:tc>
                <w:tcPr>
                  <w:tcW w:w="12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116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1084" w:type="dxa"/>
                  <w:gridSpan w:val="2"/>
                  <w:shd w:val="clear"/>
                  <w:vAlign w:val="center"/>
                </w:tcPr>
                <w:p>
                  <w:pPr>
                    <w:jc w:val="both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18"/>
                <w:szCs w:val="18"/>
              </w:rPr>
            </w:pPr>
          </w:p>
          <w:tbl>
            <w:tblPr>
              <w:tblW w:w="1114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30"/>
              <w:gridCol w:w="1314"/>
            </w:tblGrid>
            <w:tr>
              <w:trPr>
                <w:tblCellSpacing w:w="15" w:type="dxa"/>
              </w:trPr>
              <w:tc>
                <w:tcPr>
                  <w:tcW w:w="97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Рефераты публикуемых статей</w:t>
                  </w:r>
                </w:p>
              </w:tc>
              <w:tc>
                <w:tcPr>
                  <w:tcW w:w="12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121</w:t>
                  </w:r>
                </w:p>
              </w:tc>
            </w:tr>
          </w:tbl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 w:ascii="Padauk Book" w:hAnsi="Padauk Book" w:cs="Padauk Book"/>
          <w:b/>
          <w:bCs w:val="0"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C6E3B"/>
    <w:rsid w:val="2DFFEC74"/>
    <w:rsid w:val="4E9F2F5D"/>
    <w:rsid w:val="4FB70B70"/>
    <w:rsid w:val="671F2914"/>
    <w:rsid w:val="6DDFC21F"/>
    <w:rsid w:val="75FD0A7B"/>
    <w:rsid w:val="76EA56FA"/>
    <w:rsid w:val="77BDEB88"/>
    <w:rsid w:val="77DCAD69"/>
    <w:rsid w:val="79EEBE5C"/>
    <w:rsid w:val="7CDEBB61"/>
    <w:rsid w:val="7CFB5884"/>
    <w:rsid w:val="7DB6477A"/>
    <w:rsid w:val="7DBB4834"/>
    <w:rsid w:val="7DF749F9"/>
    <w:rsid w:val="7DFDB09B"/>
    <w:rsid w:val="7FA36489"/>
    <w:rsid w:val="7FB34FE5"/>
    <w:rsid w:val="9F7FE6AF"/>
    <w:rsid w:val="AF7B288B"/>
    <w:rsid w:val="B5D7706E"/>
    <w:rsid w:val="BB8B6115"/>
    <w:rsid w:val="BBCEFE42"/>
    <w:rsid w:val="BDEFF159"/>
    <w:rsid w:val="C7FF8FBB"/>
    <w:rsid w:val="CFFBF7F1"/>
    <w:rsid w:val="D6F9F3E5"/>
    <w:rsid w:val="D7BFCA3C"/>
    <w:rsid w:val="D9CD957C"/>
    <w:rsid w:val="DBF70A47"/>
    <w:rsid w:val="DF2FB75F"/>
    <w:rsid w:val="DF5F4F31"/>
    <w:rsid w:val="E3B66E2A"/>
    <w:rsid w:val="EAFDDC03"/>
    <w:rsid w:val="ED9D3E93"/>
    <w:rsid w:val="F5FEE06F"/>
    <w:rsid w:val="F635C9E4"/>
    <w:rsid w:val="F6DF81A1"/>
    <w:rsid w:val="F9F9A9B4"/>
    <w:rsid w:val="FCEF62E1"/>
    <w:rsid w:val="FDD79F38"/>
    <w:rsid w:val="FE632BDE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2018-07-26T10:56:30Z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