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1400" w:type="dxa"/>
        <w:jc w:val="center"/>
        <w:tblCellSpacing w:w="0" w:type="dxa"/>
        <w:tblInd w:w="-153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11175"/>
      </w:tblGrid>
      <w:tr>
        <w:trPr>
          <w:tblCellSpacing w:w="0" w:type="dxa"/>
          <w:jc w:val="center"/>
        </w:trPr>
        <w:tc>
          <w:tcPr>
            <w:tcW w:w="2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"Гироскопия и навигация" №1, 2008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caps w:val="0"/>
                <w:spacing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18"/>
                <w:szCs w:val="18"/>
              </w:rPr>
              <w:t>СОДЕРЖАНИЕ</w:t>
            </w: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758"/>
              <w:gridCol w:w="7018"/>
              <w:gridCol w:w="368"/>
            </w:tblGrid>
            <w:tr>
              <w:trPr>
                <w:tblCellSpacing w:w="15" w:type="dxa"/>
              </w:trPr>
              <w:tc>
                <w:tcPr>
                  <w:tcW w:w="37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Н.В.Михайлов, М.В.Васильев, В.Ф.Михайлов</w:t>
                  </w:r>
                </w:p>
              </w:tc>
              <w:tc>
                <w:tcPr>
                  <w:tcW w:w="69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Автономная навигация космических кораблей с использованием GPS</w:t>
                  </w:r>
                </w:p>
              </w:tc>
              <w:tc>
                <w:tcPr>
                  <w:tcW w:w="32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731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18"/>
                      <w:szCs w:val="18"/>
                      <w:lang w:val="en-US" w:eastAsia="zh-CN" w:bidi="ar"/>
                    </w:rPr>
                    <w:t>Настоящая статья посвящена научно-техническим основам создания БАСН и охватывает весь спектр задач, с которыми сталкиваются разработчики бортовой аппаратуры спутниковой на-вигации - анализ особенностей применения СРНС на борту ИСЗ, синтез архитектуры БАСН, методы первичной обработки сигналов в приемниках СРНС космического базирования, методы вторичной обработки измерений параметров сигналов СРНС на борту ИСЗ и принципы предполетного функционального тестирования БАСН.</w:t>
                  </w:r>
                </w:p>
              </w:tc>
              <w:tc>
                <w:tcPr>
                  <w:tcW w:w="323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vanish/>
                <w:sz w:val="18"/>
                <w:szCs w:val="18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740"/>
              <w:gridCol w:w="6916"/>
              <w:gridCol w:w="488"/>
            </w:tblGrid>
            <w:tr>
              <w:trPr>
                <w:tblCellSpacing w:w="15" w:type="dxa"/>
              </w:trPr>
              <w:tc>
                <w:tcPr>
                  <w:tcW w:w="36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Г.И.Джанджгава, К.А.Бахонин, Г.М.Виноградов, А.В.Требухов</w:t>
                  </w:r>
                </w:p>
              </w:tc>
              <w:tc>
                <w:tcPr>
                  <w:tcW w:w="688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Бесплатформенная инерциальная навигационная система на базе твердотельного волнового гироскопа</w:t>
                  </w:r>
                </w:p>
              </w:tc>
              <w:tc>
                <w:tcPr>
                  <w:tcW w:w="4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22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11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18"/>
                      <w:szCs w:val="18"/>
                      <w:lang w:val="en-US" w:eastAsia="zh-CN" w:bidi="ar"/>
                    </w:rPr>
                    <w:t>Представлены результаты разработки макетного образца бесплатформенной инерциальной навигационной системы на базе твердотельного волнового гироскопа (ТВГ) и маятниковых кремниевых акселерометров. Описана структурная схема системы. Особое внимание уделено описанию математической модели, используемой при калибровке ТВГ, и проблемам калибровки. Описаны характеристики ТВГ до и после калибровки. Также в докладе приведены результаты испытаний системы на неподвижном основании и при задании углового движения на наклонно-поворотном столе. Приведены планируемые меры по повышению точности БИНС на базе ТВГ.</w:t>
                  </w:r>
                </w:p>
              </w:tc>
              <w:tc>
                <w:tcPr>
                  <w:tcW w:w="443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vanish/>
                <w:sz w:val="18"/>
                <w:szCs w:val="18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724"/>
              <w:gridCol w:w="6930"/>
              <w:gridCol w:w="489"/>
            </w:tblGrid>
            <w:tr>
              <w:trPr>
                <w:tblCellSpacing w:w="15" w:type="dxa"/>
              </w:trPr>
              <w:tc>
                <w:tcPr>
                  <w:tcW w:w="367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А.А.Одинцов, В.Б.Васильева, Ю.Е.Наумов</w:t>
                  </w:r>
                </w:p>
              </w:tc>
              <w:tc>
                <w:tcPr>
                  <w:tcW w:w="6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Об одной схеме автономного демпфирования инерциальных навигационных систем</w:t>
                  </w:r>
                </w:p>
              </w:tc>
              <w:tc>
                <w:tcPr>
                  <w:tcW w:w="44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33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09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18"/>
                      <w:szCs w:val="18"/>
                      <w:lang w:val="en-US" w:eastAsia="zh-CN" w:bidi="ar"/>
                    </w:rPr>
                    <w:t>Рассматривается схема автономного демпфирования колебаний в каналах построения вертикали и контуре выработки широты и курса ИНС с использованием сигналов акселерометров, сглаживающих фильтров и нелинейных элементов. Показано, что сглаживающие фильтры и нелинейные элементы обеспечивают снижение влияния ускорений на ошибки контуров вертикали при маневрировании объекта и уменьшают влияние ускорений качки и шумов акселерометров. Приводится сравнительный анализ предложенной схемы демпфирования со схемой демпфирования ИНС с использованием информации от относительного лага. Показано, что в ряде случаев использование предложенной схемы автономного демпфирования может существенно повысить точность работы ИНС.</w:t>
                  </w:r>
                </w:p>
              </w:tc>
              <w:tc>
                <w:tcPr>
                  <w:tcW w:w="444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vanish/>
                <w:sz w:val="18"/>
                <w:szCs w:val="18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721"/>
              <w:gridCol w:w="6935"/>
              <w:gridCol w:w="488"/>
            </w:tblGrid>
            <w:tr>
              <w:trPr>
                <w:tblCellSpacing w:w="15" w:type="dxa"/>
              </w:trPr>
              <w:tc>
                <w:tcPr>
                  <w:tcW w:w="36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Г.И.Емельянцев, Б.Е.Ландау, С.Л.Левин, С.Г.Романенко</w:t>
                  </w:r>
                </w:p>
              </w:tc>
              <w:tc>
                <w:tcPr>
                  <w:tcW w:w="690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Об уточнении модели дрейфов электростатических гироскопов бескарданной инер-циальной системы ориентации и о методике их калибровки на стенде и в условиях ор-битального космического аппарата</w:t>
                  </w:r>
                </w:p>
              </w:tc>
              <w:tc>
                <w:tcPr>
                  <w:tcW w:w="4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43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11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18"/>
                      <w:szCs w:val="18"/>
                      <w:lang w:val="en-US" w:eastAsia="zh-CN" w:bidi="ar"/>
                    </w:rPr>
                    <w:t>Рассматривается режим калибровки бескарданной инерциальной системы ориентации (БИСО) на электростатических гироскопах (ЭСГ) при запуске системы в условиях орбитального космического аппарата (КА) Приводятся результаты решения рассматриваемой задачи при обработке данных наземных стендовых испытаний БИСО на ЭСГ.</w:t>
                  </w:r>
                </w:p>
              </w:tc>
              <w:tc>
                <w:tcPr>
                  <w:tcW w:w="443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vanish/>
                <w:sz w:val="18"/>
                <w:szCs w:val="18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38"/>
              <w:gridCol w:w="7020"/>
              <w:gridCol w:w="486"/>
            </w:tblGrid>
            <w:tr>
              <w:trPr>
                <w:tblCellSpacing w:w="15" w:type="dxa"/>
              </w:trPr>
              <w:tc>
                <w:tcPr>
                  <w:tcW w:w="35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М.А.Барулина, В.Э.Джашитов, В.М.Панкратов, М.А.Калинин, А.А.Папко</w:t>
                  </w:r>
                </w:p>
              </w:tc>
              <w:tc>
                <w:tcPr>
                  <w:tcW w:w="69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Математическая модель микромеханического акселерометра с учетом темпера-турных воздействий, термоупругого напряженно-деформированного состояния и динамических эффектов</w:t>
                  </w:r>
                </w:p>
              </w:tc>
              <w:tc>
                <w:tcPr>
                  <w:tcW w:w="44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55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13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18"/>
                      <w:szCs w:val="18"/>
                      <w:lang w:val="en-US" w:eastAsia="zh-CN" w:bidi="ar"/>
                    </w:rPr>
                    <w:t>Построена и исследована комплексная математическая модель акселерометра и его основного микромеханического чувствительного элемента, позволяющая рассчитывать и анализировать влияние механических и температурных воздействий, геометрических, электромеханических, других характеристик и параметров акселерометра на его выходной сигнал с учетом динамических эффектов. Комплексная модель включает в себя: взаимосвязанные иерархические математические модели тепловых процессов всего акселерометра и входящего в его состав микромеханического чувствительного элемента, конечно-элементную модель для определения термоупругого напряженно-деформированного состояния микромеханического чувствительного элемента, математическую модель динамического дрейфа, обусловленного температурными и деформационными полями. Получены качественные и количественные оценки параметров тепловых процессов, напряженно-деформированного состояния и дрейфа акселерометра. Выработаны рекомендации по минимизации дрейфа.</w:t>
                  </w:r>
                </w:p>
              </w:tc>
              <w:tc>
                <w:tcPr>
                  <w:tcW w:w="441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vanish/>
                <w:sz w:val="18"/>
                <w:szCs w:val="18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712"/>
              <w:gridCol w:w="6944"/>
              <w:gridCol w:w="487"/>
            </w:tblGrid>
            <w:tr>
              <w:trPr>
                <w:tblCellSpacing w:w="15" w:type="dxa"/>
              </w:trPr>
              <w:tc>
                <w:tcPr>
                  <w:tcW w:w="366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Ю.Н.Коркишко, В.А.Федоров, В.Е.Прилуцкий, В.Г.Пономарев, В.Г.Марчук, И.В.Морев, С.М.Кострицкий, Е.М.Падерин, Л.П.Несенюк, А.С.Буравлев, Л.Г.Лисин</w:t>
                  </w:r>
                </w:p>
              </w:tc>
              <w:tc>
                <w:tcPr>
                  <w:tcW w:w="691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Волоконно-оптический гироскоп навигационного класса точности</w:t>
                  </w:r>
                </w:p>
              </w:tc>
              <w:tc>
                <w:tcPr>
                  <w:tcW w:w="4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71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11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18"/>
                      <w:szCs w:val="18"/>
                      <w:lang w:val="en-US" w:eastAsia="zh-CN" w:bidi="ar"/>
                    </w:rPr>
                    <w:t>Описан интерференционный волоконно-оптический гироскоп ОИУС-1000 с замкнутым контуром обратной связи навигационного класса точности, разработанный и изготавливаемый в Научно-производственной компании "Оптолинк". Представлены результаты измерений основных параметров гироскопа, проведенные в ЦНИИ "Электроприбор". Результаты измерений показали, что волоконно-оптический гироскоп ОИУС-1000 удовлетворяет требованиям, предъявляемым к гироскопам, используемых для построения точных навигационных систем.</w:t>
                  </w:r>
                </w:p>
              </w:tc>
              <w:tc>
                <w:tcPr>
                  <w:tcW w:w="44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vanish/>
                <w:sz w:val="18"/>
                <w:szCs w:val="18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91"/>
              <w:gridCol w:w="6964"/>
              <w:gridCol w:w="488"/>
            </w:tblGrid>
            <w:tr>
              <w:trPr>
                <w:tblCellSpacing w:w="15" w:type="dxa"/>
              </w:trPr>
              <w:tc>
                <w:tcPr>
                  <w:tcW w:w="36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Т.А.Беляева, Я.А.Некрасов, Я.В.Беляев, С.В.Багаева</w:t>
                  </w:r>
                </w:p>
              </w:tc>
              <w:tc>
                <w:tcPr>
                  <w:tcW w:w="693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Подавление квадратурной помехи в микромеханическом гироскопе RR-типа с помощью электродов, расположенных над зубцовой зоной</w:t>
                  </w:r>
                </w:p>
              </w:tc>
              <w:tc>
                <w:tcPr>
                  <w:tcW w:w="4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82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10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18"/>
                      <w:szCs w:val="18"/>
                      <w:lang w:val="en-US" w:eastAsia="zh-CN" w:bidi="ar"/>
                    </w:rPr>
                    <w:t>Предлагаются различные конфигурации электродов для микромеханического гироскопа (ММГ), разрабатываемого в ЦНИИ "Электроприбор", за счет которых обеспечивается формирование моментов, компенсирующих квадратурную помеху. Приводятся результаты экспериментальной проверки этого ММГ, в котором подтверждается возможность подавления квадратурной помехи на уровне чувствительного элемента. Оценен максимально возможный уровень квадратурной помехи, который может быть скомпенсирован.</w:t>
                  </w:r>
                </w:p>
              </w:tc>
              <w:tc>
                <w:tcPr>
                  <w:tcW w:w="443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vanish/>
                <w:sz w:val="18"/>
                <w:szCs w:val="18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87"/>
              <w:gridCol w:w="6968"/>
              <w:gridCol w:w="489"/>
            </w:tblGrid>
            <w:tr>
              <w:trPr>
                <w:tblCellSpacing w:w="15" w:type="dxa"/>
              </w:trPr>
              <w:tc>
                <w:tcPr>
                  <w:tcW w:w="36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А.С.Удовиков</w:t>
                  </w:r>
                </w:p>
              </w:tc>
              <w:tc>
                <w:tcPr>
                  <w:tcW w:w="69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Исследование размерной стабильности высокоточных сферических тонкостенных бериллиевых роторов</w:t>
                  </w:r>
                </w:p>
              </w:tc>
              <w:tc>
                <w:tcPr>
                  <w:tcW w:w="44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90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610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18"/>
                      <w:szCs w:val="18"/>
                      <w:lang w:val="en-US" w:eastAsia="zh-CN" w:bidi="ar"/>
                    </w:rPr>
                    <w:t>Приведены результаты исследования влияния используемых технологических приемов на размерные характеристики высокоточных бериллиевых конструкций на примере различных модификаций сферических роторов электростатического гироскопа. Обосновано использование в качестве технологической операции на финишной стадии процесса изготовления, термоциклической обработки, позволяющей улучшить размерную стабильность роторов. Определены режимы термоциклирования и представлены данные по изменению во времени размерных характеристик роторов различных типов.</w:t>
                  </w:r>
                </w:p>
              </w:tc>
              <w:tc>
                <w:tcPr>
                  <w:tcW w:w="444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vanish/>
                <w:sz w:val="18"/>
                <w:szCs w:val="18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855"/>
              <w:gridCol w:w="1289"/>
            </w:tblGrid>
            <w:tr>
              <w:trPr>
                <w:tblCellSpacing w:w="15" w:type="dxa"/>
              </w:trPr>
              <w:tc>
                <w:tcPr>
                  <w:tcW w:w="98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Рефераты докладов участников молодежной секции XIV Cанкт-Петербургской международной конференции по интегрированным навигационным системам</w:t>
                  </w:r>
                </w:p>
              </w:tc>
              <w:tc>
                <w:tcPr>
                  <w:tcW w:w="124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95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1084" w:type="dxa"/>
                  <w:gridSpan w:val="2"/>
                  <w:shd w:val="clear"/>
                  <w:vAlign w:val="center"/>
                </w:tcPr>
                <w:p>
                  <w:pPr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caps w:val="0"/>
                <w:color w:val="000000"/>
                <w:spacing w:val="0"/>
                <w:sz w:val="18"/>
                <w:szCs w:val="18"/>
              </w:rPr>
              <w:t>Международная общественная организация</w:t>
            </w:r>
            <w:r>
              <w:rPr>
                <w:rFonts w:hint="default" w:ascii="Arial" w:hAnsi="Arial" w:cs="Arial"/>
                <w:b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18"/>
                <w:szCs w:val="18"/>
              </w:rPr>
              <w:t>"Академия навигации и управления движением"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18"/>
                <w:szCs w:val="18"/>
              </w:rPr>
              <w:br w:type="textWrapping"/>
            </w:r>
            <w:r>
              <w:rPr>
                <w:rFonts w:hint="default" w:ascii="Arial" w:hAnsi="Arial" w:cs="Arial"/>
                <w:b/>
                <w:i/>
                <w:caps w:val="0"/>
                <w:color w:val="000000"/>
                <w:spacing w:val="0"/>
                <w:sz w:val="18"/>
                <w:szCs w:val="18"/>
              </w:rPr>
              <w:t>Официальная информация</w:t>
            </w: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437"/>
              <w:gridCol w:w="6425"/>
              <w:gridCol w:w="1282"/>
            </w:tblGrid>
            <w:tr>
              <w:trPr>
                <w:tblCellSpacing w:w="15" w:type="dxa"/>
              </w:trPr>
              <w:tc>
                <w:tcPr>
                  <w:tcW w:w="339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Е.И.Веремей</w:t>
                  </w:r>
                </w:p>
              </w:tc>
              <w:tc>
                <w:tcPr>
                  <w:tcW w:w="63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Конференция по применению среды MATLAB в исследованиях и обучении</w:t>
                  </w:r>
                </w:p>
              </w:tc>
              <w:tc>
                <w:tcPr>
                  <w:tcW w:w="123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103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i/>
                <w:caps w:val="0"/>
                <w:color w:val="000000"/>
                <w:spacing w:val="0"/>
                <w:sz w:val="18"/>
                <w:szCs w:val="18"/>
              </w:rPr>
              <w:t>Страницы истории</w:t>
            </w: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94"/>
              <w:gridCol w:w="6461"/>
              <w:gridCol w:w="1288"/>
            </w:tblGrid>
            <w:tr>
              <w:trPr>
                <w:tblCellSpacing w:w="15" w:type="dxa"/>
              </w:trPr>
              <w:tc>
                <w:tcPr>
                  <w:tcW w:w="33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Йорг Вагнер, Хельмут В.Зорг</w:t>
                  </w:r>
                </w:p>
              </w:tc>
              <w:tc>
                <w:tcPr>
                  <w:tcW w:w="643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Машина Боненбергера</w:t>
                  </w:r>
                </w:p>
              </w:tc>
              <w:tc>
                <w:tcPr>
                  <w:tcW w:w="124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107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18"/>
                <w:szCs w:val="18"/>
              </w:rPr>
              <w:t>Информация</w:t>
            </w: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834"/>
              <w:gridCol w:w="1310"/>
            </w:tblGrid>
            <w:tr>
              <w:trPr>
                <w:tblCellSpacing w:w="15" w:type="dxa"/>
              </w:trPr>
              <w:tc>
                <w:tcPr>
                  <w:tcW w:w="9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О книге И.Е.Сипенкова, А.Ю.Филиппова, Ю.Я.Болдырева, Б.С.Григорьева, Н.Д.Заблоцкого, Г.А.Лучина, Т.В.Панич "Прецизионные газовые подшипники" (отклики читателей)</w:t>
                  </w:r>
                </w:p>
              </w:tc>
              <w:tc>
                <w:tcPr>
                  <w:tcW w:w="12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115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1084" w:type="dxa"/>
                  <w:gridSpan w:val="2"/>
                  <w:shd w:val="clear"/>
                  <w:vAlign w:val="center"/>
                </w:tcPr>
                <w:p>
                  <w:pPr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vanish/>
                <w:sz w:val="18"/>
                <w:szCs w:val="18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834"/>
              <w:gridCol w:w="1310"/>
            </w:tblGrid>
            <w:tr>
              <w:trPr>
                <w:tblCellSpacing w:w="15" w:type="dxa"/>
              </w:trPr>
              <w:tc>
                <w:tcPr>
                  <w:tcW w:w="9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Российские и международные конференции, симпозиумы и выставки</w:t>
                  </w:r>
                </w:p>
              </w:tc>
              <w:tc>
                <w:tcPr>
                  <w:tcW w:w="12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116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1084" w:type="dxa"/>
                  <w:gridSpan w:val="2"/>
                  <w:shd w:val="clear"/>
                  <w:vAlign w:val="center"/>
                </w:tcPr>
                <w:p>
                  <w:pPr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vanish/>
                <w:sz w:val="18"/>
                <w:szCs w:val="18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830"/>
              <w:gridCol w:w="1314"/>
            </w:tblGrid>
            <w:tr>
              <w:trPr>
                <w:tblCellSpacing w:w="15" w:type="dxa"/>
              </w:trPr>
              <w:tc>
                <w:tcPr>
                  <w:tcW w:w="97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Рефераты публикуемых статей</w:t>
                  </w:r>
                </w:p>
              </w:tc>
              <w:tc>
                <w:tcPr>
                  <w:tcW w:w="12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121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7FA36489"/>
    <w:rsid w:val="7FB34FE5"/>
    <w:rsid w:val="9F7FE6AF"/>
    <w:rsid w:val="AF7B288B"/>
    <w:rsid w:val="B5D7706E"/>
    <w:rsid w:val="BB8B6115"/>
    <w:rsid w:val="BBCEFE42"/>
    <w:rsid w:val="BDEFF159"/>
    <w:rsid w:val="C7FF8FBB"/>
    <w:rsid w:val="CFFBF7F1"/>
    <w:rsid w:val="D6F9F3E5"/>
    <w:rsid w:val="D7BFCA3C"/>
    <w:rsid w:val="D9CD957C"/>
    <w:rsid w:val="DBF70A47"/>
    <w:rsid w:val="DF2FB75F"/>
    <w:rsid w:val="DF5F4F31"/>
    <w:rsid w:val="E3B66E2A"/>
    <w:rsid w:val="EAFDDC03"/>
    <w:rsid w:val="ED9D3E93"/>
    <w:rsid w:val="F5FEE06F"/>
    <w:rsid w:val="F635C9E4"/>
    <w:rsid w:val="F6DF81A1"/>
    <w:rsid w:val="F9F9A9B4"/>
    <w:rsid w:val="FCEF62E1"/>
    <w:rsid w:val="FDD79F38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2018-07-26T10:56:30Z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