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imSun" w:cs="Times New Roman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"Гироскопия и навигация" №3, 2007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  <w:t>СОДЕРЖАНИЕ</w:t>
      </w: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7"/>
        <w:gridCol w:w="5435"/>
        <w:gridCol w:w="213"/>
      </w:tblGrid>
      <w:tr>
        <w:trPr>
          <w:tblCellSpacing w:w="15" w:type="dxa"/>
        </w:trPr>
        <w:tc>
          <w:tcPr>
            <w:tcW w:w="2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А.П.Мезенцев, Е.Н.Фролов, М.Ю.Климкин, О.А.Мезенцев</w:t>
            </w:r>
          </w:p>
        </w:tc>
        <w:tc>
          <w:tcPr>
            <w:tcW w:w="5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Среднеточная ИНС "АИСТ-320" с кориолисовым вибрационным гироскопом "АИСТ-100". Идеология и результаты разработки, производства и испытаний</w:t>
            </w:r>
          </w:p>
        </w:tc>
        <w:tc>
          <w:tcPr>
            <w:tcW w:w="1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rPr>
          <w:tblCellSpacing w:w="15" w:type="dxa"/>
        </w:trPr>
        <w:tc>
          <w:tcPr>
            <w:tcW w:w="813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Рассмотрены результаты разработки, производства и испытаний среднеточной бесплатформенной инерциальной навигационной системы (БИНС) "АИСТ-320" на базе кориолисова вибрационного гироскопа "АИСТ-100", состоящего из механического модуля чувствительного элемента (ЧЭ) и платы электроники. ЧЭ имеет в своем составе подвижный микромеханический узел, который может совершать угловые колебания вокруг оси возбуждения на металлических торсионах. Микромеханический узел - это три соединенных пластины (две стеклянные и одна кремниевая). В кремниевой пластине химическим травлением образована рамка, которая может совершать угловые колебания в узле вокруг оси, перпендикулярной оси возбуждения. По результатам моделирования выбраны структура, параметры и алгоритмы функционирования обратных связей электронных устройств.</w:t>
            </w:r>
          </w:p>
        </w:tc>
        <w:tc>
          <w:tcPr>
            <w:tcW w:w="168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3"/>
        <w:gridCol w:w="5347"/>
        <w:gridCol w:w="344"/>
      </w:tblGrid>
      <w:tr>
        <w:trPr>
          <w:tblCellSpacing w:w="15" w:type="dxa"/>
        </w:trPr>
        <w:tc>
          <w:tcPr>
            <w:tcW w:w="2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П.К.Плотников, В.Б.Никишин, Ю.В.Чеботаревский, А.И.Синев, В.Ю.Чеботаревский</w:t>
            </w:r>
          </w:p>
        </w:tc>
        <w:tc>
          <w:tcPr>
            <w:tcW w:w="53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Развитие и применение метода решения задач подземной навигации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rPr>
          <w:tblCellSpacing w:w="15" w:type="dxa"/>
        </w:trPr>
        <w:tc>
          <w:tcPr>
            <w:tcW w:w="80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Излагаются положения метода решения задач подземной навигации, его развитие, а также особенности применения к магистральным трубопроводам и к буровым скважинам. Приводятся примеры эффективности реализации метода в виде результатов испытаний ИНС, интегрированных с GPS и одометром (внутритрубная навигация), а также результатов экспериментальных исследований БИНС, интегрированной с GPS и датчиком приращения длины каротажного кабеля (скважинная навигация).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3"/>
        <w:gridCol w:w="5347"/>
        <w:gridCol w:w="344"/>
      </w:tblGrid>
      <w:tr>
        <w:trPr>
          <w:tblCellSpacing w:w="15" w:type="dxa"/>
        </w:trPr>
        <w:tc>
          <w:tcPr>
            <w:tcW w:w="2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А.В.Шолохов</w:t>
            </w:r>
          </w:p>
        </w:tc>
        <w:tc>
          <w:tcPr>
            <w:tcW w:w="53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Коррекция автономных наземных навигационных систем в движении с использованием контрольных точек цифровой карты дороги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</w:tr>
      <w:tr>
        <w:trPr>
          <w:tblCellSpacing w:w="15" w:type="dxa"/>
        </w:trPr>
        <w:tc>
          <w:tcPr>
            <w:tcW w:w="80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Решена задача коррекции навигационной системы счисления при прохождении наземным объектом контрольных точек, для которых заблаговременно определены координаты и другие параметры. При этом не предполагается остановка объекта в контрольной точке, ее маркирование и опознавание на местности, фиксация момента прохождения посредством датчиков. Приведены результаты оценки точности корректируемой наземной навигационной системы, основанные на натурных экспериментальных данных.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3"/>
        <w:gridCol w:w="5347"/>
        <w:gridCol w:w="344"/>
      </w:tblGrid>
      <w:tr>
        <w:trPr>
          <w:tblCellSpacing w:w="15" w:type="dxa"/>
        </w:trPr>
        <w:tc>
          <w:tcPr>
            <w:tcW w:w="2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С.С.Суворов, А.М.Девяткин, Ю.В.Кулешов, А.Б.Лебедев, А.Н.Подковырин</w:t>
            </w:r>
          </w:p>
        </w:tc>
        <w:tc>
          <w:tcPr>
            <w:tcW w:w="53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Оценка влияния солнечного затмения 29 марта 2006 года на точность определения координат навигационной аппаратурой потребителя GPS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</w:tr>
      <w:tr>
        <w:trPr>
          <w:tblCellSpacing w:w="15" w:type="dxa"/>
        </w:trPr>
        <w:tc>
          <w:tcPr>
            <w:tcW w:w="80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На примере солнечного затмения 29 марта 2006 года анализируется его влияние на состояние ионосферы, точность определения координат и возможность идентифицирования состояния ионосферы с использованием GPS и ГЛОНАСС. Приводятся также результаты эксперимента по оцениванию влияния затмения на точностные характеристики КНС.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3"/>
        <w:gridCol w:w="5347"/>
        <w:gridCol w:w="344"/>
      </w:tblGrid>
      <w:tr>
        <w:trPr>
          <w:tblCellSpacing w:w="15" w:type="dxa"/>
        </w:trPr>
        <w:tc>
          <w:tcPr>
            <w:tcW w:w="2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А.Г.Баженов, Д.Г.Грязин, М.И.Евстифеев, Я.И.Беляев, Д.Г.Молотков, А.С.Ковалев, Д.В.Розенцвейн, А.А.Унтилов, Ю.В.Шадрин</w:t>
            </w:r>
          </w:p>
        </w:tc>
        <w:tc>
          <w:tcPr>
            <w:tcW w:w="53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Специализированный программный комплекс проектирования микромеханических инерциальных датчиков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</w:tr>
      <w:tr>
        <w:trPr>
          <w:tblCellSpacing w:w="15" w:type="dxa"/>
        </w:trPr>
        <w:tc>
          <w:tcPr>
            <w:tcW w:w="80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Представлена система для автоматизированного проектирования микромеханических датчиков - гироскопов и акселерометров. Система состоит из модулей расчета механических параметров, элементов системы управления и термостабилизации. Представлены основные алгоритмы, интерфейс программы, а также примеры расчетов.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3"/>
        <w:gridCol w:w="5347"/>
        <w:gridCol w:w="344"/>
      </w:tblGrid>
      <w:tr>
        <w:trPr>
          <w:tblCellSpacing w:w="15" w:type="dxa"/>
        </w:trPr>
        <w:tc>
          <w:tcPr>
            <w:tcW w:w="2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Д.П.Лукьянов, А.А.Тихонов, Ю.В.Филатов, М.М.Шевелько, А.Г.Поваляев, С.Ю.Шевченко, А.А.Стуров,, И.В.Попова, А.М.Лестев, М.А.Лестев, В.В.Новиков, М.С.Вершинин</w:t>
            </w:r>
          </w:p>
        </w:tc>
        <w:tc>
          <w:tcPr>
            <w:tcW w:w="53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Разработка и оптимизация схемы построения микроакселерометра на поверхностных акустических волнах. Ч.2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</w:tr>
      <w:tr>
        <w:trPr>
          <w:tblCellSpacing w:w="15" w:type="dxa"/>
        </w:trPr>
        <w:tc>
          <w:tcPr>
            <w:tcW w:w="80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Проанализированы эквивалентные характеристики одновходовых ПАВ-резонаторов в составе микроакселерометра на поверхностных акустических волнах (ПАВ) и выполнен расчет цепей автогенераторов для двух различных схем построения микроакселерометра. В процессе экспериментальных исследований проведены: проверка работоспособности ПАВ-микроакселерометров, анализ сигналов разностной частоты, пропорциональной ускорению, предварительная оценка технических характеристик (масштабный коэффициент, нелинейность масштабного коэффициента, сдвиг нуля) микромеханического акселерометра в гравитационном поле Земли. Особое внимание уделено температурным эффектам. В целях определения температурного дрейфа и времени выхода на рабочий режим проведены экспериментальные исследования микроакселерометров на ПАВ и конечно-элементное моделирование их чувствительных элементов с помощью пакета прикладных программ ANSYS.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3"/>
        <w:gridCol w:w="5347"/>
        <w:gridCol w:w="344"/>
      </w:tblGrid>
      <w:tr>
        <w:trPr>
          <w:tblCellSpacing w:w="15" w:type="dxa"/>
        </w:trPr>
        <w:tc>
          <w:tcPr>
            <w:tcW w:w="2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М.Б.Розенгауз</w:t>
            </w:r>
          </w:p>
        </w:tc>
        <w:tc>
          <w:tcPr>
            <w:tcW w:w="53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Влияние неполноты и степени достоверности систем контроля на надежность нерезервированной технической системы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rPr>
          <w:tblCellSpacing w:w="15" w:type="dxa"/>
        </w:trPr>
        <w:tc>
          <w:tcPr>
            <w:tcW w:w="80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Приведены результаты решения задач по нахождению функции (коэффициента) готовности при экспоненциальном законе распределения времени безотказной работы отдельных элементов технической системы, системы контроля этой системы и времени восстановления элементов технической системы для различных случаев функционирования как системы в целом, так и системы ее контроля, учитывающие его неполноту и степень достоверности.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  <w:t>Материалы XIV Санкт-Петербургской международной конференции 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  <w:t>по интегрированным навигационным системам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6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Рефераты докладов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0"/>
          <w:szCs w:val="20"/>
        </w:rPr>
        <w:t>Международная общественная организация</w:t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  <w:t>"Академия навигации и управления движением"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b/>
          <w:i/>
          <w:caps w:val="0"/>
          <w:color w:val="000000"/>
          <w:spacing w:val="0"/>
          <w:sz w:val="20"/>
          <w:szCs w:val="20"/>
        </w:rPr>
        <w:t>Официальная информация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6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ХХIII Общее собрание Академии навигации и управления движением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  <w:t>Новые книги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6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О монографии "Прецизионные газовые подшипники"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0"/>
          <w:szCs w:val="20"/>
        </w:rPr>
        <w:t>Информация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6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Общероссийский семинар "Современные методы навигации и управления движением"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</w:tr>
    </w:tbl>
    <w:p>
      <w:pPr>
        <w:rPr>
          <w:vanish/>
          <w:sz w:val="20"/>
          <w:szCs w:val="20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6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</w:tr>
    </w:tbl>
    <w:p>
      <w:pPr>
        <w:rPr>
          <w:vanish/>
          <w:sz w:val="20"/>
          <w:szCs w:val="20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Рефераты публикуемых статей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125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</w:tr>
    </w:tbl>
    <w:p>
      <w:pPr>
        <w:jc w:val="both"/>
        <w:rPr>
          <w:rFonts w:hint="default" w:ascii="Padauk Book" w:hAnsi="Padauk Book" w:cs="Padauk Book"/>
          <w:b/>
          <w:bCs w:val="0"/>
          <w:color w:val="404552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1ECF75C3"/>
    <w:rsid w:val="23FC6E3B"/>
    <w:rsid w:val="2DFFEC74"/>
    <w:rsid w:val="3EBED115"/>
    <w:rsid w:val="4E9F2F5D"/>
    <w:rsid w:val="4FB70B70"/>
    <w:rsid w:val="5F77C1E4"/>
    <w:rsid w:val="671F2914"/>
    <w:rsid w:val="6DD3B806"/>
    <w:rsid w:val="6DDFC21F"/>
    <w:rsid w:val="75FD0A7B"/>
    <w:rsid w:val="76EA56FA"/>
    <w:rsid w:val="77BDEB88"/>
    <w:rsid w:val="77DCAD69"/>
    <w:rsid w:val="79EEBE5C"/>
    <w:rsid w:val="7CDEBB61"/>
    <w:rsid w:val="7CFB5884"/>
    <w:rsid w:val="7DB6477A"/>
    <w:rsid w:val="7DBB4834"/>
    <w:rsid w:val="7DF749F9"/>
    <w:rsid w:val="7DFDB09B"/>
    <w:rsid w:val="7FA36489"/>
    <w:rsid w:val="7FB34FE5"/>
    <w:rsid w:val="7FFF361B"/>
    <w:rsid w:val="9F7FE6AF"/>
    <w:rsid w:val="AF7B288B"/>
    <w:rsid w:val="B5D7706E"/>
    <w:rsid w:val="BB8B6115"/>
    <w:rsid w:val="BBCEFE42"/>
    <w:rsid w:val="BC37BC89"/>
    <w:rsid w:val="BDEFF159"/>
    <w:rsid w:val="C7FF8FBB"/>
    <w:rsid w:val="CFFBF7F1"/>
    <w:rsid w:val="D6F9F3E5"/>
    <w:rsid w:val="D7BFCA3C"/>
    <w:rsid w:val="D9CD957C"/>
    <w:rsid w:val="D9E6AF77"/>
    <w:rsid w:val="DBF70A47"/>
    <w:rsid w:val="DF2FB75F"/>
    <w:rsid w:val="DF5F4F31"/>
    <w:rsid w:val="E3B66E2A"/>
    <w:rsid w:val="EAFDDC03"/>
    <w:rsid w:val="ED9D3E93"/>
    <w:rsid w:val="F5FEE06F"/>
    <w:rsid w:val="F635C9E4"/>
    <w:rsid w:val="F6DF81A1"/>
    <w:rsid w:val="F9F9A9B4"/>
    <w:rsid w:val="FCEF62E1"/>
    <w:rsid w:val="FDD79F38"/>
    <w:rsid w:val="FE632BDE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2018-07-26T11:05:12Z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