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33"/>
          <w:szCs w:val="33"/>
          <w:lang w:val="en-US" w:eastAsia="zh-CN" w:bidi="ar"/>
        </w:rPr>
        <w:t> "Гироскопия и навигация" №2, 2006</w:t>
      </w:r>
    </w:p>
    <w:tbl>
      <w:tblPr>
        <w:tblW w:w="11400" w:type="dxa"/>
        <w:jc w:val="center"/>
        <w:tblCellSpacing w:w="0" w:type="dxa"/>
        <w:tblInd w:w="-153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0"/>
        <w:gridCol w:w="770"/>
      </w:tblGrid>
      <w:tr>
        <w:trPr>
          <w:tblCellSpacing w:w="0" w:type="dxa"/>
          <w:jc w:val="center"/>
        </w:trPr>
        <w:tc>
          <w:tcPr>
            <w:tcW w:w="10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20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СОДЕРЖАНИЕ</w:t>
            </w:r>
          </w:p>
          <w:tbl>
            <w:tblPr>
              <w:tblW w:w="1059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1"/>
              <w:gridCol w:w="6642"/>
              <w:gridCol w:w="605"/>
            </w:tblGrid>
            <w:tr>
              <w:trPr>
                <w:tblCellSpacing w:w="15" w:type="dxa"/>
              </w:trPr>
              <w:tc>
                <w:tcPr>
                  <w:tcW w:w="3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200" w:firstLine="0"/>
                    <w:jc w:val="left"/>
                    <w:rPr>
                      <w:rFonts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М.Ю.Беляев, Д.Н.Рулев, Е.С.Медведев, В.В.Сазонов, В.Пеффген</w:t>
                  </w:r>
                </w:p>
              </w:tc>
              <w:tc>
                <w:tcPr>
                  <w:tcW w:w="6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20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Определение параметров движения орбитальной станции с использованием GPS-измерений</w:t>
                  </w:r>
                </w:p>
              </w:tc>
              <w:tc>
                <w:tcPr>
                  <w:tcW w:w="5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20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948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leftChars="20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Оценена точность определения и прогноза слабовозмущенного движения МКС по GPS-измерениям ее гринвичских координат, полученных с помощью аппаратуры АСН-2401. При определении движения на интервалах времени менее 1 суток средние квадратические значения ошибок аппроксимации данных измерений координат не превышают 30 м. При правильном выборе баллистического коэффициента обработка данных GPS-измерений на трехчасовом интервале позволяет сделать прогноз движения станции на 15 ч вперед с ошибкой в радиус-векторе, не превышающей 400 м. Выявлены систематические ошибки устойчивого вида в измерениях скорости станции, выполненных аппаратурой АСН-2401.</w:t>
                  </w:r>
                </w:p>
              </w:tc>
              <w:tc>
                <w:tcPr>
                  <w:tcW w:w="560" w:type="dxa"/>
                  <w:shd w:val="clear"/>
                  <w:vAlign w:val="center"/>
                </w:tcPr>
                <w:p>
                  <w:pPr>
                    <w:ind w:leftChars="200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ind w:leftChars="200"/>
              <w:rPr>
                <w:vanish/>
                <w:sz w:val="20"/>
                <w:szCs w:val="20"/>
              </w:rPr>
            </w:pPr>
          </w:p>
          <w:tbl>
            <w:tblPr>
              <w:tblW w:w="1059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10"/>
              <w:gridCol w:w="6560"/>
              <w:gridCol w:w="729"/>
            </w:tblGrid>
            <w:tr>
              <w:trPr>
                <w:tblCellSpacing w:w="15" w:type="dxa"/>
              </w:trPr>
              <w:tc>
                <w:tcPr>
                  <w:tcW w:w="32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20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К. Де Вагтер, Я. А. Мюлдер</w:t>
                  </w:r>
                </w:p>
              </w:tc>
              <w:tc>
                <w:tcPr>
                  <w:tcW w:w="65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20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Получение внешней информации и наведение беспилотных летательных аппаратов с использованием средств видеонаблюдения</w:t>
                  </w:r>
                </w:p>
              </w:tc>
              <w:tc>
                <w:tcPr>
                  <w:tcW w:w="6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20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13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82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leftChars="20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Рассматривается использование видеоизображений от телекамеры, обработка которых позволяет получить информацию для наведения на площадку посадки беспилотного летательного аппарата (БЛА) и о внешней обстановке в дополнение к измерениям абсолютного местоположения и инерциальным измерениям. Решение этой задачи стало возможным благодаря возрастающей производительности бортовых ЦВМ, повышению качества аппаратуры формирования цифровых изображений и увеличению числа создаваемых БЛА. Стабилизируемый в полете с использованием информации от GPS и инерциального измерительного блока беспилотный вертолет оснащен единственной видеокамерой, установленной на наклонно-поворотном устройстве. Комплексирование данных, полученных от инерциального измерительного блока, GPS и магнитометра, с информацией, вырабатываемой на базе обработанной последовательности цифровых изображений, существенно увеличивает знания об окружающей БЛА обстановке. Для преодоления неопределенностей, присущих видеонаблюдению, и создания робастной системы управления используется "интеллектуальный" подход. Алгоритмы получения внешней информации с использованием средств видеонаблюдения и наведения тестируются в режиме моделирования, алгоритмы анализа изображений также и в реальной ситуации. Они позволяют выделять и отслеживать посадочные площадки, обеспечивать наведение на объекты, представляющие интерес, и могут построить трехмерное изображение местности. Система может обеспечивать выработку данных для предупреждения столкновений.</w:t>
                  </w:r>
                </w:p>
              </w:tc>
              <w:tc>
                <w:tcPr>
                  <w:tcW w:w="684" w:type="dxa"/>
                  <w:shd w:val="clear"/>
                  <w:vAlign w:val="center"/>
                </w:tcPr>
                <w:p>
                  <w:pPr>
                    <w:ind w:leftChars="200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ind w:leftChars="200"/>
              <w:rPr>
                <w:vanish/>
                <w:sz w:val="20"/>
                <w:szCs w:val="20"/>
              </w:rPr>
            </w:pPr>
          </w:p>
          <w:tbl>
            <w:tblPr>
              <w:tblW w:w="1059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10"/>
              <w:gridCol w:w="6560"/>
              <w:gridCol w:w="729"/>
            </w:tblGrid>
            <w:tr>
              <w:trPr>
                <w:tblCellSpacing w:w="15" w:type="dxa"/>
              </w:trPr>
              <w:tc>
                <w:tcPr>
                  <w:tcW w:w="32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20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В.А.Андреев, С.А.Белоусов, К.В.Дюжев, А.А.Игнатьев, Л.З.Новиков, В.Л.Петелин, А.Н.Столяров, Г.М.Шумова</w:t>
                  </w:r>
                </w:p>
              </w:tc>
              <w:tc>
                <w:tcPr>
                  <w:tcW w:w="65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20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Бесплатформенный инерциальный блок системы управления автономного космического буксира ракеты-носителя "Днепр"</w:t>
                  </w:r>
                </w:p>
              </w:tc>
              <w:tc>
                <w:tcPr>
                  <w:tcW w:w="6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20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26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82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leftChars="20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Представлены сведения о ходе разработки малогабаритного бесплатформенного инерциального блока на базе миниатюрных динамически настраиваемых гироскопов и маятниковых акселерометров, предназначенного для использования в качестве командно-измерительного прибора системы управления автономного космического буксира (разгонного блока) ракеты-носителя "Днепр". Особое внимание уделено принципам резервирования структур прибора, обеспечивающим безотказную и непрерывную работу при возникновении любой возможной единичной неисправности. Описаны система формирования выходной информации бесплатформенного инерциального блока и программно-математическое обеспечение работы прибора в различных режимах. Приведены некоторые результаты испытаний первых опытных образцов, подтверждающие правильность принятых технических решений.</w:t>
                  </w:r>
                </w:p>
              </w:tc>
              <w:tc>
                <w:tcPr>
                  <w:tcW w:w="684" w:type="dxa"/>
                  <w:shd w:val="clear"/>
                  <w:vAlign w:val="center"/>
                </w:tcPr>
                <w:p>
                  <w:pPr>
                    <w:ind w:leftChars="200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ind w:leftChars="200"/>
              <w:rPr>
                <w:vanish/>
                <w:sz w:val="20"/>
                <w:szCs w:val="20"/>
              </w:rPr>
            </w:pPr>
          </w:p>
          <w:tbl>
            <w:tblPr>
              <w:tblW w:w="1059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10"/>
              <w:gridCol w:w="6560"/>
              <w:gridCol w:w="729"/>
            </w:tblGrid>
            <w:tr>
              <w:trPr>
                <w:tblCellSpacing w:w="15" w:type="dxa"/>
              </w:trPr>
              <w:tc>
                <w:tcPr>
                  <w:tcW w:w="32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20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С.Ф.Коновалов, А.А.Коновченко, Е.Л.Межирицкий</w:t>
                  </w:r>
                </w:p>
              </w:tc>
              <w:tc>
                <w:tcPr>
                  <w:tcW w:w="65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20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Компенсационный "Si-flex" акселерометр для измерения больших ускорений</w:t>
                  </w:r>
                </w:p>
              </w:tc>
              <w:tc>
                <w:tcPr>
                  <w:tcW w:w="6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20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44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82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leftChars="20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Рассматриваются особенности работы газозаполненных акселерометров навигационного класса с упругой подвеской маятника, выполненной из монокристаллического кремния. Показано, что при несовпадении центра масс маятника и точки приложения силы компенсационного датчика силы возникают не компенсируемые системой обратной связи угловые и поступательные смещения пластин маятника, сравнимые с величиной зазора газового демпфера. Анализируются технологические и конструктивные причины появления указанного несовпадения. Показана возможность изготовления маятника с крестовидными растяжками из монокристаллического кремния методом анизотропного травления. Приведены результаты экспериментов.</w:t>
                  </w:r>
                </w:p>
              </w:tc>
              <w:tc>
                <w:tcPr>
                  <w:tcW w:w="684" w:type="dxa"/>
                  <w:shd w:val="clear"/>
                  <w:vAlign w:val="center"/>
                </w:tcPr>
                <w:p>
                  <w:pPr>
                    <w:ind w:leftChars="200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vanish/>
                <w:sz w:val="20"/>
                <w:szCs w:val="20"/>
              </w:rPr>
            </w:pPr>
          </w:p>
          <w:tbl>
            <w:tblPr>
              <w:tblW w:w="1059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437"/>
              <w:gridCol w:w="6815"/>
              <w:gridCol w:w="346"/>
            </w:tblGrid>
            <w:tr>
              <w:trPr>
                <w:tblCellSpacing w:w="15" w:type="dxa"/>
              </w:trPr>
              <w:tc>
                <w:tcPr>
                  <w:tcW w:w="33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Ю.Г.Мартыненко, В.С.Рябиков, Н.Н.Щеглова, Л.И.Нехамкин</w:t>
                  </w:r>
                </w:p>
              </w:tc>
              <w:tc>
                <w:tcPr>
                  <w:tcW w:w="67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Движение трехстепенного поплавкового гироскопа при его контактах с упором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51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20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Рассматривается трехстепенной поплавковый гироскоп, установленный на равномерно вращающемся основании. Построена математическая модель движения гироскопа при его сходе и возвращении на одностороннюю связь, возникающую при контакте отверстия на поплавке с упором, установленном на корпусе прибора. Приведены результаты численного интегрирования предложенных уравнений движения.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vanish/>
                <w:sz w:val="20"/>
                <w:szCs w:val="20"/>
              </w:rPr>
            </w:pPr>
          </w:p>
          <w:tbl>
            <w:tblPr>
              <w:tblW w:w="1059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437"/>
              <w:gridCol w:w="6815"/>
              <w:gridCol w:w="346"/>
            </w:tblGrid>
            <w:tr>
              <w:trPr>
                <w:tblCellSpacing w:w="15" w:type="dxa"/>
              </w:trPr>
              <w:tc>
                <w:tcPr>
                  <w:tcW w:w="33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В.М.Слюсарь</w:t>
                  </w:r>
                </w:p>
              </w:tc>
              <w:tc>
                <w:tcPr>
                  <w:tcW w:w="67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Актуальные вопросы проектирования алгоритмов ориентации бесплатформенных инерциальных навигационных систем. Часть 1. Амплитудное расширение области применения алгоритмов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61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20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Данное название объединяет три статьи, в которых содержатся теоретические результаты, относящиеся к различным аспектам проблемы минимизации погрешностей интегрирования кинематического уравнения БИНС: обоснование выбора новой и более информативной модели тестового движения; получение высокоточных математических моделей погрешностей алгоритмов; разработка более практичных критериев оптимизации, используемых при синтезе алгоритмов; обобщение задачи проектирования алгоритмов на случай частотно - зависимых искажений первичных сигналов измерения и др. В части 1 подробно анализируется проблема точности оценивания вычислительного дрейфа алгоритмов в условиях "больших" амплитуд угловых колебаний и показана возможность решения задачи синтеза так называемых "расширенных" алгоритмов для нового типа тестового движения. В последующих двух частях рассматриваются актуальные вопросы разработки математического и методического обеспечения проектирования стандартных алгоритмов.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vanish/>
                <w:sz w:val="20"/>
                <w:szCs w:val="20"/>
              </w:rPr>
            </w:pPr>
          </w:p>
          <w:tbl>
            <w:tblPr>
              <w:tblW w:w="1059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437"/>
              <w:gridCol w:w="6815"/>
              <w:gridCol w:w="346"/>
            </w:tblGrid>
            <w:tr>
              <w:trPr>
                <w:tblCellSpacing w:w="15" w:type="dxa"/>
              </w:trPr>
              <w:tc>
                <w:tcPr>
                  <w:tcW w:w="33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Н.В.Дробышев, В.Н.Конешов, И.А.Папуша, М.Ю.Попеленский, Ю.Е.Рожков</w:t>
                  </w:r>
                </w:p>
              </w:tc>
              <w:tc>
                <w:tcPr>
                  <w:tcW w:w="67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Рекуррентный алгоритм определения уклонения отвесной линии по данным гравиметрической съемки, основанный на стохастическом подходе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75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20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Приводятся результаты сравнения двух алгоритмов определения уклонений отвесной линии по данным гравиметрической съемки. Первый алгоритм, основанный на формулах Вейнинг-Мейнеса, традиционно используется в Военно-Морском Флоте России. Второй алгоритм, основанный на стохастическом подходе, впервые используется для обработки данных крупномасштабных съемок.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Материалы VIII конференции молодых ученых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"Навигация и управление движением"</w:t>
            </w:r>
          </w:p>
          <w:tbl>
            <w:tblPr>
              <w:tblW w:w="1060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04"/>
              <w:gridCol w:w="1096"/>
            </w:tblGrid>
            <w:tr>
              <w:trPr>
                <w:tblCellSpacing w:w="15" w:type="dxa"/>
              </w:trPr>
              <w:tc>
                <w:tcPr>
                  <w:tcW w:w="94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Рефераты докладов</w:t>
                  </w:r>
                </w:p>
              </w:tc>
              <w:tc>
                <w:tcPr>
                  <w:tcW w:w="105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85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Международная общественная организация</w:t>
            </w:r>
            <w:r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"Академия навигации и управления движением"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Arial" w:hAnsi="Arial" w:cs="Arial"/>
                <w:b/>
                <w:i/>
                <w:caps w:val="0"/>
                <w:color w:val="000000"/>
                <w:spacing w:val="0"/>
                <w:sz w:val="20"/>
                <w:szCs w:val="20"/>
              </w:rPr>
              <w:t>Официальная информация</w:t>
            </w:r>
          </w:p>
          <w:tbl>
            <w:tblPr>
              <w:tblW w:w="1060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04"/>
              <w:gridCol w:w="1096"/>
            </w:tblGrid>
            <w:tr>
              <w:trPr>
                <w:tblCellSpacing w:w="15" w:type="dxa"/>
              </w:trPr>
              <w:tc>
                <w:tcPr>
                  <w:tcW w:w="94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Общероссийский семинар "Современные методы навигации и управления движением"</w:t>
                  </w:r>
                </w:p>
              </w:tc>
              <w:tc>
                <w:tcPr>
                  <w:tcW w:w="105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113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Информация</w:t>
            </w:r>
          </w:p>
          <w:tbl>
            <w:tblPr>
              <w:tblW w:w="1060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89"/>
              <w:gridCol w:w="6318"/>
              <w:gridCol w:w="1093"/>
            </w:tblGrid>
            <w:tr>
              <w:trPr>
                <w:tblCellSpacing w:w="15" w:type="dxa"/>
              </w:trPr>
              <w:tc>
                <w:tcPr>
                  <w:tcW w:w="314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С.К.Воловодов</w:t>
                  </w:r>
                </w:p>
              </w:tc>
              <w:tc>
                <w:tcPr>
                  <w:tcW w:w="62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1-я Российская мультиконференция по проблемам управления</w:t>
                  </w:r>
                </w:p>
              </w:tc>
              <w:tc>
                <w:tcPr>
                  <w:tcW w:w="1048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vanish/>
                <w:sz w:val="20"/>
                <w:szCs w:val="20"/>
              </w:rPr>
            </w:pPr>
          </w:p>
          <w:tbl>
            <w:tblPr>
              <w:tblW w:w="1060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04"/>
              <w:gridCol w:w="1096"/>
            </w:tblGrid>
            <w:tr>
              <w:trPr>
                <w:tblCellSpacing w:w="15" w:type="dxa"/>
              </w:trPr>
              <w:tc>
                <w:tcPr>
                  <w:tcW w:w="94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Конференция по динамическому позиционированию</w:t>
                  </w:r>
                  <w:r>
                    <w:rPr>
                      <w:rFonts w:hint="default" w:ascii="Arial" w:hAnsi="Arial" w:eastAsia="SimSun" w:cs="Arial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    </w:t>
                  </w:r>
                </w:p>
              </w:tc>
            </w:tr>
          </w:tbl>
          <w:p>
            <w:pPr>
              <w:rPr>
                <w:vanish/>
                <w:sz w:val="20"/>
                <w:szCs w:val="20"/>
              </w:rPr>
            </w:pPr>
          </w:p>
          <w:tbl>
            <w:tblPr>
              <w:tblW w:w="1060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04"/>
              <w:gridCol w:w="1096"/>
            </w:tblGrid>
            <w:tr>
              <w:trPr>
                <w:tblCellSpacing w:w="15" w:type="dxa"/>
              </w:trPr>
              <w:tc>
                <w:tcPr>
                  <w:tcW w:w="94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Российские и международные конференции, симпозиумы и выставки</w:t>
                  </w:r>
                  <w:r>
                    <w:rPr>
                      <w:rFonts w:hint="default" w:ascii="Arial" w:hAnsi="Arial" w:eastAsia="SimSun" w:cs="Arial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    </w:t>
                  </w:r>
                </w:p>
              </w:tc>
            </w:tr>
          </w:tbl>
          <w:p>
            <w:pPr>
              <w:rPr>
                <w:vanish/>
                <w:sz w:val="20"/>
                <w:szCs w:val="20"/>
              </w:rPr>
            </w:pPr>
          </w:p>
          <w:tbl>
            <w:tblPr>
              <w:tblW w:w="1060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04"/>
              <w:gridCol w:w="1096"/>
            </w:tblGrid>
            <w:tr>
              <w:trPr>
                <w:tblCellSpacing w:w="15" w:type="dxa"/>
              </w:trPr>
              <w:tc>
                <w:tcPr>
                  <w:tcW w:w="94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Рефераты публикуемых статей</w:t>
                  </w:r>
                  <w:r>
                    <w:rPr>
                      <w:rFonts w:hint="default" w:ascii="Arial" w:hAnsi="Arial" w:eastAsia="SimSun" w:cs="Arial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   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6" o:spt="1" style="height:0.75pt;width:432pt;" fillcolor="#000000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tbl>
            <w:tblPr>
              <w:tblW w:w="975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752"/>
            </w:tblGrid>
            <w:tr>
              <w:trPr>
                <w:tblCellSpacing w:w="15" w:type="dxa"/>
              </w:trPr>
              <w:tc>
                <w:tcPr>
                  <w:tcW w:w="96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Решением Высшей аттестационной комиссии Министерства образования Российской Федерации от 17 октября 2001 г. журнал "Гироскопия и навигация" включен в "Перечень периодических научных и научно-технических изданий, выпускаемых в Российской Федерации, в которых рекомендуется публикация основных результатов диссертаций на соискание ученой степени доктора наук" </w:t>
                  </w: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SimSun" w:cs="Arial"/>
                      <w:b/>
                      <w:caps w:val="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(Бюллетень ВАК Минобразования РФ, 2002, № 1).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0" w:type="dxa"/>
            <w:shd w:val="clear"/>
            <w:vAlign w:val="center"/>
          </w:tcPr>
          <w:p>
            <w:pPr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55EF6"/>
    <w:rsid w:val="23FC6E3B"/>
    <w:rsid w:val="2DFFEC74"/>
    <w:rsid w:val="3EBED115"/>
    <w:rsid w:val="4E9F2F5D"/>
    <w:rsid w:val="4FB70B70"/>
    <w:rsid w:val="5F77C1E4"/>
    <w:rsid w:val="671F2914"/>
    <w:rsid w:val="6DD3B806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7FA36489"/>
    <w:rsid w:val="7FB34FE5"/>
    <w:rsid w:val="7FFF361B"/>
    <w:rsid w:val="9F7FE6AF"/>
    <w:rsid w:val="AF7B288B"/>
    <w:rsid w:val="B5D7706E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D9D3E93"/>
    <w:rsid w:val="F5FEE06F"/>
    <w:rsid w:val="F635C9E4"/>
    <w:rsid w:val="F6DF81A1"/>
    <w:rsid w:val="F9F9A9B4"/>
    <w:rsid w:val="FCEF62E1"/>
    <w:rsid w:val="FDD79F38"/>
    <w:rsid w:val="FDE1F495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2018-07-26T11:09:22Z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