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(69), 2010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/>
        <w:jc w:val="both"/>
        <w:rPr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i w:val="0"/>
          <w:caps w:val="0"/>
          <w:color w:val="404552" w:themeColor="background1"/>
          <w:spacing w:val="0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№2 (69), 2010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Б.В.Одинцов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задаче повышения точности определения ориентации космического аппарата дистанционного зондирования Земли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4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49"/>
            </w:tblGrid>
            <w:tr>
              <w:trPr>
                <w:tblCellSpacing w:w="15" w:type="dxa"/>
              </w:trPr>
              <w:tc>
                <w:tcPr>
                  <w:tcW w:w="7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Михаил Шаталов, Шарлотта Кетце, Стефан Виктор Джуберт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Динамика неидеального полусферического волнового твердотельного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8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Т.Н.Сирая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Вариация Аллана как оценка погрешности измерения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И.Б.Вайсгант, Ю.А.Литвиненко, В.А.Тупысев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Особенности контроля информации относительного лага в задаче коррекции морской инерциальной навигационной системы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В.Ю.Ольшанский, И.С.Курочкин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Параметрический синтез динамической системы "малый искусственный спутник Земли гиродемпферы" с апериодическим затуханием собственных колебаний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А.Г.Кузнецов, З.С.Абутидзе, Б.И.Портнов, В.И.Галкин, А.А.Калик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разработки микромеханических датчиков для пилотажных систем управления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С.Н.Беляев, А.Г.Щербак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процессов напыления сверхтонких покрытий на узлы гироприборов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"http://www.elektropribor.spb.ru/gnnew/rn2_2010_annot"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XII конференции молодых ученых "Навигация и управление движением"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8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86"/>
            </w:tblGrid>
            <w:tr>
              <w:trPr>
                <w:tblCellSpacing w:w="15" w:type="dxa"/>
              </w:trPr>
              <w:tc>
                <w:tcPr>
                  <w:tcW w:w="66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XXIХ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26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23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39"/>
            </w:tblGrid>
            <w:tr>
              <w:trPr>
                <w:tblCellSpacing w:w="15" w:type="dxa"/>
              </w:trPr>
              <w:tc>
                <w:tcPr>
                  <w:tcW w:w="71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Фильтр Калмана: история и современность (К 80-летию Рудольфа Калмана)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49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92"/>
            </w:tblGrid>
            <w:tr>
              <w:trPr>
                <w:tblCellSpacing w:w="15" w:type="dxa"/>
              </w:trPr>
              <w:tc>
                <w:tcPr>
                  <w:tcW w:w="74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А.В.Небылов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Научное, инженерное и методическое наследие профессора В.А.Бесекерского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70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08"/>
            </w:tblGrid>
            <w:tr>
              <w:trPr>
                <w:tblCellSpacing w:w="15" w:type="dxa"/>
              </w:trPr>
              <w:tc>
                <w:tcPr>
                  <w:tcW w:w="764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"Памяти профессора Л.П.Несенюка. Избранные труды и воспоминания"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4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Д.П.Лукьянов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4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Вечная память ученому и другу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4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С.Ф.Коновалов, Е.В.Шевцова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 уму и сердцу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0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06"/>
            </w:tblGrid>
            <w:tr>
              <w:trPr>
                <w:tblCellSpacing w:w="15" w:type="dxa"/>
              </w:trPr>
              <w:tc>
                <w:tcPr>
                  <w:tcW w:w="77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Н.А.Пакшина, П.В.Пакшин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 восьмом международном симпозиуме по образованию в области управления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139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9F7FE6AF"/>
    <w:rsid w:val="B5D7706E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635C9E4"/>
    <w:rsid w:val="F6DF81A1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