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Fonts w:hint="default" w:ascii="Times New Roman" w:hAnsi="Times New Roman" w:eastAsia="SimSun" w:cs="Times New Roman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"Гироскопия и навигация" №3 (50), 2005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СОДЕРЖАНИЕ</w:t>
      </w:r>
    </w:p>
    <w:tbl>
      <w:tblPr>
        <w:tblW w:w="839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1"/>
        <w:gridCol w:w="5444"/>
        <w:gridCol w:w="199"/>
      </w:tblGrid>
      <w:tr>
        <w:trPr>
          <w:tblCellSpacing w:w="15" w:type="dxa"/>
        </w:trPr>
        <w:tc>
          <w:tcPr>
            <w:tcW w:w="2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В.Е.Герцман, А.В.Экало, В.М.Зайцев, С.Л.Шпекторов, В.Ф.Герастовский, Ю.Б.Махненко, В.И.Прут</w:t>
            </w:r>
          </w:p>
        </w:tc>
        <w:tc>
          <w:tcPr>
            <w:tcW w:w="5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Анализ погрешностей навигационной аппаратуры потребителя ГЛОНАСС/GPS при проведении траекторных измерений</w:t>
            </w:r>
          </w:p>
        </w:tc>
        <w:tc>
          <w:tcPr>
            <w:tcW w:w="1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rPr>
          <w:tblCellSpacing w:w="15" w:type="dxa"/>
        </w:trPr>
        <w:tc>
          <w:tcPr>
            <w:tcW w:w="815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Рассматриваются результаты измерений, полученные от конкретного типа навигационной аппаратуры потребителя, разработанной МКБ "Компас". Приводится состав данных, передаваемых в наземный центр обработки информации посредством системы телеизмерений. Анализируются динамические погрешности, возникающие на участках разделения ступеней ракеты, погрешности, связанные с относительным движением разнесенных антенн приемника, особенности приема навигационных сигналов при разворотах ракеты-носителя и происходящем при этом переключении антенн приемника. Сравниваются кинематические параметры траектории, полученные по данным бортовой навигационной аппаратуры ГЛОНАСС/GPS и наземных радиотехнических систем траекторных измерений.</w:t>
            </w:r>
          </w:p>
        </w:tc>
        <w:tc>
          <w:tcPr>
            <w:tcW w:w="154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Н.В.Дробышев, Л.К. Железняк, В.В. Клевцов, В.Н. Конешов, В.Н. Соловьев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Оценка потенциальных возможностей спутниковой альтиметрии при изучении гравитационного поля Мирового океана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Изложены результаты экспериментальной оценки точности современных определений силы тяжести, полученной институтом Scripps Institution of Oceanography (США) с помощью спутниковой альтиметрии. Оценивание производилось путем сравнения спутниковых определений с прямыми измерениями морским гравиметрическим комплексом (МГК) "Чета АГГ". Достигаемая с использованием альтиметрии точность позволяет построить карту гравитационного поля в открытом океане с сечением изоаномал от 10 до 25 мГал, а в отдельных случаях и 5 мГал, в зависимости от расчлененности поля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А.А.Одинцов, В.Б.Васильева, Ю.Е.Наумов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Анализ влияния изменения масштабных коэффициентов в линиях управления на выходные параметры ИНС на магнитных гироскопах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Рассматривается влияние изменения масштабных коэффициентов в линиях управления гироскопическими чувствительными элементами (ГЧЭ) на выходные параметры ИНС на магнитных гироскопах при длительном использовании ИНС. Предложены рекомендации по проведению коррекции.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Я.И.Биндер, Т.В.Падерина, И.Б.Челпанов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Определение азимута скважин сложного профиля методом средневзвешенной оценки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Предлагается новый алгоритм вычисления азимута для двухосной схемы инклинометрической системы, основанный на оптимальном взвешивании двух измерений. </w:t>
            </w: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Показывается, что предлагаемый алгоритм не требует анализа траектории и автоматически дает наилучшую оценку вычисления азимута при измерении скважин произвольной ориентации. Анализируется чувствительность алгоритма к нарушению допущений о статистической независимости погрешностей гироскопических измерителей и их равноточности.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В.Г.Пешехонов, Л.П.Несенюк,</w:t>
            </w:r>
          </w:p>
          <w:tbl>
            <w:tblPr>
              <w:tblW w:w="1607" w:type="dxa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7"/>
            </w:tblGrid>
            <w:tr>
              <w:trPr>
                <w:tblCellSpacing w:w="0" w:type="dxa"/>
              </w:trPr>
              <w:tc>
                <w:tcPr>
                  <w:tcW w:w="16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SimSun" w:cs="Arial"/>
                      <w:b/>
                      <w:kern w:val="0"/>
                      <w:sz w:val="18"/>
                      <w:szCs w:val="18"/>
                      <w:lang w:val="en-US" w:eastAsia="zh-CN" w:bidi="ar"/>
                    </w:rPr>
                    <w:t> С.Г.Кучерков,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М.И.Евстифеев, Я.А.Некрасов, С.Ренар, П.Пфлюгер, К.Пизелла, Ж.Колле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Результаты разработки микромеханического гироскопа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Представлены результаты разработки микромеханического гироскопа (ММГ) RR-типа. Дано описание конструкции, схемы управления и обработки сигналов, особенностей технологии изготовления. Приведены результаты первых испытаний.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И.В.Меркурьев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Влияние неравномерной толщины полусферического резонатора на точность волнового твердотельного гироскопа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Рассматриваются собственные колебания резонатора волнового твердотельного гироскопа в виде тонкой, упругой полусферической оболочки. Предполагается, что толщина резонатора изменяется по окружной координате по гармоническому закону. Показано, что наибольшее влияние на изменение второй, основной собственной частоты оказывает четвертая гармоника в законе изменения толщины резонатора. Даны числовые оценки "уходов" гироскопа, вызванные переменной толщиной резонатора.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В.Н.Тарасов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Методы и технические средства разделения составляющих погрешностей поплавковых гироприборов, обусловленных электроприводом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Проводится обобщение опыта физических исследований поплавковых гироприборов с использованием синхронно-гистерезисного двигателя для определения погрешностей гироскопа, определяемых приводом. Исключаются методы, технические средства выполнения исследований и результаты, позволяющие определить направления стабилизации характеристик гироприбора.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Материалы VII конференции молодых ученых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"Навигация и управление движением" </w:t>
      </w: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Рефераты докладов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8"/>
          <w:szCs w:val="18"/>
        </w:rPr>
        <w:t>Международная общественная организация</w:t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"Академия навигации и управления движением"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/>
          <w:i/>
          <w:caps w:val="0"/>
          <w:color w:val="000000"/>
          <w:spacing w:val="0"/>
          <w:sz w:val="18"/>
          <w:szCs w:val="18"/>
        </w:rPr>
        <w:t>Официальная информация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6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XIX Общее собрание Академии навигации и управления движением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Страницы истории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В.Г.Пешехонов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Пятьдесят номеров журнала и семьдесят лет истории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Информация</w:t>
      </w: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Материалы совместной научной сессии Секции навигационных систем и их чувствительных элементов и Санкт-Петербургской секции прецизионной гироскопии Научного Совета РАН по проблемам управления движением и навигации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742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4411"/>
        <w:gridCol w:w="777"/>
      </w:tblGrid>
      <w:tr>
        <w:trPr>
          <w:tblCellSpacing w:w="15" w:type="dxa"/>
        </w:trPr>
        <w:tc>
          <w:tcPr>
            <w:tcW w:w="21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Н.И.Кробка</w:t>
            </w:r>
          </w:p>
        </w:tc>
        <w:tc>
          <w:tcPr>
            <w:tcW w:w="43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Решение кинематической задачи Эйлера</w:t>
            </w:r>
          </w:p>
        </w:tc>
        <w:tc>
          <w:tcPr>
            <w:tcW w:w="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Российские и международные конференции, симпозиумы и выставки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Рефераты публикуемых статей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sz w:val="18"/>
          <w:szCs w:val="18"/>
        </w:rPr>
        <w:pict>
          <v:rect id="_x0000_i1031" o:spt="1" style="height:0.7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W w:w="772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4"/>
      </w:tblGrid>
      <w:tr>
        <w:trPr>
          <w:tblCellSpacing w:w="15" w:type="dxa"/>
        </w:trPr>
        <w:tc>
          <w:tcPr>
            <w:tcW w:w="7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Решением Высшей аттестационной комиссии Министерства образования Российской Федерации от 17 октября 2001 г. журнал "Гироскопия и навигация" включен в "Перечень периодических научных и научно-технических изданий, выпускаемых в Российской Федерации, в которых рекомендуется публикация основных результатов диссертаций на соискание ученой степени доктора наук" </w:t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(Бюллетень ВАК Минобразования РФ, 2002, № 1).</w:t>
            </w:r>
          </w:p>
        </w:tc>
      </w:tr>
    </w:tbl>
    <w:p>
      <w:pPr>
        <w:jc w:val="both"/>
        <w:rPr>
          <w:rFonts w:hint="default" w:ascii="Padauk Book" w:hAnsi="Padauk Book" w:cs="Padauk Book"/>
          <w:b w:val="0"/>
          <w:bCs/>
          <w:color w:val="404552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7" w:usb1="00000000" w:usb2="00000000" w:usb3="00000000" w:csb0="20000097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  <w:font w:name="Symbol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1ECF75C3"/>
    <w:rsid w:val="23F55EF6"/>
    <w:rsid w:val="23FC6E3B"/>
    <w:rsid w:val="2AFE31B7"/>
    <w:rsid w:val="2DFFEC74"/>
    <w:rsid w:val="3EBED115"/>
    <w:rsid w:val="4E9F2F5D"/>
    <w:rsid w:val="4FB70B70"/>
    <w:rsid w:val="5F77C1E4"/>
    <w:rsid w:val="671F2914"/>
    <w:rsid w:val="6DD3B806"/>
    <w:rsid w:val="6DDFC21F"/>
    <w:rsid w:val="75FD0A7B"/>
    <w:rsid w:val="76EA56FA"/>
    <w:rsid w:val="77BDEB88"/>
    <w:rsid w:val="77DCAD69"/>
    <w:rsid w:val="79EEBE5C"/>
    <w:rsid w:val="7CDEBB61"/>
    <w:rsid w:val="7CDF5A42"/>
    <w:rsid w:val="7CFB5884"/>
    <w:rsid w:val="7DB6477A"/>
    <w:rsid w:val="7DBB4834"/>
    <w:rsid w:val="7DF749F9"/>
    <w:rsid w:val="7DFDB09B"/>
    <w:rsid w:val="7FA36489"/>
    <w:rsid w:val="7FB34FE5"/>
    <w:rsid w:val="7FFF361B"/>
    <w:rsid w:val="867F0FBA"/>
    <w:rsid w:val="9F7FE6AF"/>
    <w:rsid w:val="AF7B288B"/>
    <w:rsid w:val="AFEACC67"/>
    <w:rsid w:val="B5D7706E"/>
    <w:rsid w:val="BB8B6115"/>
    <w:rsid w:val="BBCEFE42"/>
    <w:rsid w:val="BC37BC89"/>
    <w:rsid w:val="BDEFF159"/>
    <w:rsid w:val="C7FF8FBB"/>
    <w:rsid w:val="CFFBF7F1"/>
    <w:rsid w:val="D6F9F3E5"/>
    <w:rsid w:val="D7BFCA3C"/>
    <w:rsid w:val="D9CD957C"/>
    <w:rsid w:val="D9E6AF77"/>
    <w:rsid w:val="DBF70A47"/>
    <w:rsid w:val="DF2FB75F"/>
    <w:rsid w:val="DF5F4F31"/>
    <w:rsid w:val="E1B972DC"/>
    <w:rsid w:val="E3B66E2A"/>
    <w:rsid w:val="EAFDDC03"/>
    <w:rsid w:val="ED9D3E93"/>
    <w:rsid w:val="EFDBD7E2"/>
    <w:rsid w:val="F5FEE06F"/>
    <w:rsid w:val="F635C9E4"/>
    <w:rsid w:val="F6DF81A1"/>
    <w:rsid w:val="F9F9A9B4"/>
    <w:rsid w:val="FCEF62E1"/>
    <w:rsid w:val="FDD79F38"/>
    <w:rsid w:val="FDE1F495"/>
    <w:rsid w:val="FE632BDE"/>
    <w:rsid w:val="FFDB1DE2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Phoenix">
      <a:dk1>
        <a:sysClr val="windowText" lastClr="D3DAE3"/>
      </a:dk1>
      <a:lt1>
        <a:sysClr val="window" lastClr="404552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2018-07-26T12:46:00Z</dcterms:created>
  <dc:creator>cupuyc</dc:creator>
  <cp:lastModifiedBy>cupuyc</cp:lastModifiedBy>
  <dcterms:modified xsi:type="dcterms:W3CDTF">2018-07-26T11:30:04Z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