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C5" w:rsidRPr="00280EC5" w:rsidRDefault="00280EC5" w:rsidP="00280EC5">
      <w:pPr>
        <w:pStyle w:val="3"/>
        <w:shd w:val="clear" w:color="auto" w:fill="FFFFFF"/>
        <w:spacing w:before="0" w:beforeAutospacing="0" w:after="90" w:afterAutospacing="0"/>
        <w:jc w:val="center"/>
        <w:rPr>
          <w:rFonts w:ascii="Arial" w:hAnsi="Arial" w:cs="Arial"/>
          <w:b w:val="0"/>
          <w:bCs w:val="0"/>
          <w:color w:val="000059"/>
          <w:spacing w:val="15"/>
          <w:sz w:val="26"/>
          <w:szCs w:val="26"/>
          <w:lang w:val="en-US"/>
        </w:rPr>
      </w:pPr>
      <w:r w:rsidRPr="00280EC5">
        <w:rPr>
          <w:rFonts w:ascii="Arial" w:hAnsi="Arial" w:cs="Arial"/>
          <w:b w:val="0"/>
          <w:bCs w:val="0"/>
          <w:color w:val="000059"/>
          <w:spacing w:val="15"/>
          <w:sz w:val="26"/>
          <w:szCs w:val="26"/>
          <w:lang w:val="en-US"/>
        </w:rPr>
        <w:t>Scientific and technical journal</w:t>
      </w:r>
      <w:r w:rsidRPr="00280EC5">
        <w:rPr>
          <w:rFonts w:ascii="Arial" w:hAnsi="Arial" w:cs="Arial"/>
          <w:b w:val="0"/>
          <w:bCs w:val="0"/>
          <w:color w:val="000059"/>
          <w:spacing w:val="15"/>
          <w:sz w:val="26"/>
          <w:szCs w:val="26"/>
          <w:lang w:val="en-US"/>
        </w:rPr>
        <w:br/>
        <w:t>"</w:t>
      </w:r>
      <w:r>
        <w:rPr>
          <w:rFonts w:ascii="Arial" w:hAnsi="Arial" w:cs="Arial"/>
          <w:b w:val="0"/>
          <w:bCs w:val="0"/>
          <w:color w:val="000059"/>
          <w:spacing w:val="15"/>
          <w:sz w:val="26"/>
          <w:szCs w:val="26"/>
        </w:rPr>
        <w:t>Гироскопия</w:t>
      </w:r>
      <w:r w:rsidRPr="00280EC5">
        <w:rPr>
          <w:rFonts w:ascii="Arial" w:hAnsi="Arial" w:cs="Arial"/>
          <w:b w:val="0"/>
          <w:bCs w:val="0"/>
          <w:color w:val="000059"/>
          <w:spacing w:val="15"/>
          <w:sz w:val="26"/>
          <w:szCs w:val="26"/>
          <w:lang w:val="en-US"/>
        </w:rPr>
        <w:t xml:space="preserve"> </w:t>
      </w:r>
      <w:r>
        <w:rPr>
          <w:rFonts w:ascii="Arial" w:hAnsi="Arial" w:cs="Arial"/>
          <w:b w:val="0"/>
          <w:bCs w:val="0"/>
          <w:color w:val="000059"/>
          <w:spacing w:val="15"/>
          <w:sz w:val="26"/>
          <w:szCs w:val="26"/>
        </w:rPr>
        <w:t>и</w:t>
      </w:r>
      <w:r w:rsidRPr="00280EC5">
        <w:rPr>
          <w:rFonts w:ascii="Arial" w:hAnsi="Arial" w:cs="Arial"/>
          <w:b w:val="0"/>
          <w:bCs w:val="0"/>
          <w:color w:val="000059"/>
          <w:spacing w:val="15"/>
          <w:sz w:val="26"/>
          <w:szCs w:val="26"/>
          <w:lang w:val="en-US"/>
        </w:rPr>
        <w:t xml:space="preserve"> </w:t>
      </w:r>
      <w:r>
        <w:rPr>
          <w:rFonts w:ascii="Arial" w:hAnsi="Arial" w:cs="Arial"/>
          <w:b w:val="0"/>
          <w:bCs w:val="0"/>
          <w:color w:val="000059"/>
          <w:spacing w:val="15"/>
          <w:sz w:val="26"/>
          <w:szCs w:val="26"/>
        </w:rPr>
        <w:t>навигация</w:t>
      </w:r>
      <w:r w:rsidRPr="00280EC5">
        <w:rPr>
          <w:rFonts w:ascii="Arial" w:hAnsi="Arial" w:cs="Arial"/>
          <w:b w:val="0"/>
          <w:bCs w:val="0"/>
          <w:color w:val="000059"/>
          <w:spacing w:val="15"/>
          <w:sz w:val="26"/>
          <w:szCs w:val="26"/>
          <w:lang w:val="en-US"/>
        </w:rPr>
        <w:t>" (Gyroskopiya i Navigatsiya)</w:t>
      </w:r>
    </w:p>
    <w:p w:rsidR="00280EC5" w:rsidRPr="00280EC5" w:rsidRDefault="00280EC5" w:rsidP="00280EC5">
      <w:pPr>
        <w:shd w:val="clear" w:color="auto" w:fill="FFFFFF"/>
        <w:jc w:val="center"/>
        <w:rPr>
          <w:rFonts w:ascii="Arial" w:hAnsi="Arial" w:cs="Arial"/>
          <w:color w:val="000000"/>
          <w:sz w:val="20"/>
          <w:szCs w:val="20"/>
          <w:lang w:val="en-US"/>
        </w:rPr>
      </w:pPr>
      <w:r w:rsidRPr="00280EC5">
        <w:rPr>
          <w:rFonts w:ascii="Arial" w:hAnsi="Arial" w:cs="Arial"/>
          <w:color w:val="000000"/>
          <w:sz w:val="20"/>
          <w:szCs w:val="20"/>
          <w:lang w:val="en-US"/>
        </w:rPr>
        <w:t>(ISSN 2075-0927 - Online, ISSN 0869-7035 - Print)</w:t>
      </w:r>
      <w:bookmarkStart w:id="0" w:name="_GoBack"/>
      <w:bookmarkEnd w:id="0"/>
      <w:r w:rsidRPr="00280EC5">
        <w:rPr>
          <w:rFonts w:ascii="Arial" w:hAnsi="Arial" w:cs="Arial"/>
          <w:color w:val="000000"/>
          <w:sz w:val="20"/>
          <w:szCs w:val="20"/>
          <w:lang w:val="en-US"/>
        </w:rPr>
        <w:br/>
      </w:r>
      <w:r w:rsidRPr="00280EC5">
        <w:rPr>
          <w:rFonts w:ascii="Arial" w:hAnsi="Arial" w:cs="Arial"/>
          <w:color w:val="000000"/>
          <w:sz w:val="20"/>
          <w:szCs w:val="20"/>
          <w:lang w:val="en-US"/>
        </w:rPr>
        <w:br/>
      </w:r>
    </w:p>
    <w:p w:rsidR="00280EC5" w:rsidRPr="00280EC5" w:rsidRDefault="00280EC5" w:rsidP="00280EC5">
      <w:pPr>
        <w:pStyle w:val="3"/>
        <w:shd w:val="clear" w:color="auto" w:fill="FFFFFF"/>
        <w:spacing w:before="0" w:beforeAutospacing="0" w:after="90" w:afterAutospacing="0"/>
        <w:jc w:val="center"/>
        <w:rPr>
          <w:rFonts w:ascii="Arial" w:hAnsi="Arial" w:cs="Arial"/>
          <w:b w:val="0"/>
          <w:bCs w:val="0"/>
          <w:color w:val="000059"/>
          <w:spacing w:val="15"/>
          <w:sz w:val="26"/>
          <w:szCs w:val="26"/>
          <w:lang w:val="en-US"/>
        </w:rPr>
      </w:pPr>
      <w:r w:rsidRPr="00280EC5">
        <w:rPr>
          <w:rFonts w:ascii="Arial" w:hAnsi="Arial" w:cs="Arial"/>
          <w:b w:val="0"/>
          <w:bCs w:val="0"/>
          <w:color w:val="000059"/>
          <w:spacing w:val="15"/>
          <w:sz w:val="26"/>
          <w:szCs w:val="26"/>
          <w:lang w:val="en-US"/>
        </w:rPr>
        <w:t>LIST OF MATERIALS</w:t>
      </w:r>
      <w:r w:rsidRPr="00280EC5">
        <w:rPr>
          <w:rFonts w:ascii="Arial" w:hAnsi="Arial" w:cs="Arial"/>
          <w:b w:val="0"/>
          <w:bCs w:val="0"/>
          <w:color w:val="000059"/>
          <w:spacing w:val="15"/>
          <w:sz w:val="26"/>
          <w:szCs w:val="26"/>
          <w:lang w:val="en-US"/>
        </w:rPr>
        <w:br/>
        <w:t>PUBLISHED IN GIROSKOPIYA I NAVIGATSIYA IN 2014 </w:t>
      </w:r>
    </w:p>
    <w:tbl>
      <w:tblPr>
        <w:tblW w:w="4500" w:type="pct"/>
        <w:jc w:val="center"/>
        <w:tblCellSpacing w:w="75" w:type="dxa"/>
        <w:tblCellMar>
          <w:left w:w="0" w:type="dxa"/>
          <w:right w:w="0" w:type="dxa"/>
        </w:tblCellMar>
        <w:tblLook w:val="04A0" w:firstRow="1" w:lastRow="0" w:firstColumn="1" w:lastColumn="0" w:noHBand="0" w:noVBand="1"/>
      </w:tblPr>
      <w:tblGrid>
        <w:gridCol w:w="7411"/>
        <w:gridCol w:w="599"/>
        <w:gridCol w:w="1572"/>
      </w:tblGrid>
      <w:tr w:rsidR="00280EC5" w:rsidTr="00280EC5">
        <w:trPr>
          <w:tblCellSpacing w:w="75" w:type="dxa"/>
          <w:jc w:val="center"/>
        </w:trPr>
        <w:tc>
          <w:tcPr>
            <w:tcW w:w="4000" w:type="pct"/>
            <w:vAlign w:val="center"/>
            <w:hideMark/>
          </w:tcPr>
          <w:p w:rsidR="00280EC5" w:rsidRPr="00280EC5" w:rsidRDefault="00280EC5">
            <w:pPr>
              <w:rPr>
                <w:sz w:val="24"/>
                <w:szCs w:val="24"/>
                <w:lang w:val="en-US"/>
              </w:rPr>
            </w:pPr>
          </w:p>
        </w:tc>
        <w:tc>
          <w:tcPr>
            <w:tcW w:w="250" w:type="pct"/>
            <w:vAlign w:val="bottom"/>
            <w:hideMark/>
          </w:tcPr>
          <w:p w:rsidR="00280EC5" w:rsidRDefault="00280EC5">
            <w:pPr>
              <w:jc w:val="center"/>
              <w:rPr>
                <w:sz w:val="24"/>
                <w:szCs w:val="24"/>
              </w:rPr>
            </w:pPr>
            <w:r>
              <w:rPr>
                <w:b/>
                <w:bCs/>
              </w:rPr>
              <w:t>№</w:t>
            </w:r>
          </w:p>
        </w:tc>
        <w:tc>
          <w:tcPr>
            <w:tcW w:w="250" w:type="pct"/>
            <w:vAlign w:val="bottom"/>
            <w:hideMark/>
          </w:tcPr>
          <w:p w:rsidR="00280EC5" w:rsidRDefault="00280EC5">
            <w:pPr>
              <w:jc w:val="center"/>
              <w:rPr>
                <w:sz w:val="24"/>
                <w:szCs w:val="24"/>
              </w:rPr>
            </w:pPr>
            <w:r>
              <w:rPr>
                <w:b/>
                <w:bCs/>
              </w:rPr>
              <w:t>page</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Abdulrahim K., K. Seman, M. Othman, F. Masyitah Md Shuib, T. Moore, Ch. Hide, Ch.Hill</w:t>
            </w:r>
            <w:r w:rsidRPr="00280EC5">
              <w:rPr>
                <w:lang w:val="en-US"/>
              </w:rPr>
              <w:br/>
              <w:t>Magnetometer Heading Updates for Inertial Pedestrian Navigation System</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50</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Akhmetov R.N., G.P. Anshakov, A.I. Manturov, and V.I. Rublev</w:t>
            </w:r>
            <w:r w:rsidRPr="00280EC5">
              <w:rPr>
                <w:lang w:val="en-US"/>
              </w:rPr>
              <w:br/>
              <w:t>Solution of navigation problem by Resurs-P spacecraft motion control system</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Basarab M.A., B.S. Lunin, V.A. Matveev, E.A. Chumankin</w:t>
            </w:r>
            <w:r w:rsidRPr="00280EC5">
              <w:rPr>
                <w:lang w:val="en-US"/>
              </w:rPr>
              <w:br/>
              <w:t>Static balancing of cylindrical resonators of solid-state wave gyroscopes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43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Binder Ya.I.</w:t>
            </w:r>
            <w:r w:rsidRPr="00280EC5">
              <w:rPr>
                <w:lang w:val="en-US"/>
              </w:rPr>
              <w:br/>
              <w:t>Constructing horizon trihedral in gyroscopic orientation systems used to aid navigation dead-reckoning. Part 1. Principle of gyroscopic orientation with corrected pendulum. Free gyro implementation</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69</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Deineka l.G., A.A. Makarenko, M. V. Mekhrengin. D.A. Egorov</w:t>
            </w:r>
            <w:r w:rsidRPr="00280EC5">
              <w:rPr>
                <w:lang w:val="en-US"/>
              </w:rPr>
              <w:br/>
              <w:t>The use of digital filters for processing of fiber-optic gyroscope output data</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84</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Emeliantsev G.J., Yu.A. Litmanovich. N.N. Moshkin</w:t>
            </w:r>
            <w:r w:rsidRPr="00280EC5">
              <w:rPr>
                <w:lang w:val="en-US"/>
              </w:rPr>
              <w:br/>
              <w:t>Improving informational autonomy of marine SINS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15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Emelyantsev G.I., B.A. Blazhnov, A.P. Stepanov</w:t>
            </w:r>
            <w:r w:rsidRPr="00280EC5">
              <w:rPr>
                <w:lang w:val="en-US"/>
              </w:rPr>
              <w:br/>
              <w:t>Attitude determination by INS-GNSS system using phase and magnetometer measurements for fast rotating objects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28</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Evstifeev M.I., D.P. Eliseev, and I.B. Chelpanov</w:t>
            </w:r>
            <w:r w:rsidRPr="00280EC5">
              <w:rPr>
                <w:lang w:val="en-US"/>
              </w:rPr>
              <w:br/>
              <w:t>Improving mechanical resistance of MEMS gyros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56</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Farah T., C. Guerlin, A. Landragin. Ph. Bouyer. S. Gaffel, F. Pereira Dos Santos, S. Merlet</w:t>
            </w:r>
            <w:r w:rsidRPr="00280EC5">
              <w:rPr>
                <w:lang w:val="en-US"/>
              </w:rPr>
              <w:br/>
              <w:t>Underground operation at best sensitivity of the mobile LNE-SYRTE cold atom gravimeter</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Finkelstein M. and M. Rozengauz</w:t>
            </w:r>
            <w:r w:rsidRPr="00280EC5">
              <w:rPr>
                <w:lang w:val="en-US"/>
              </w:rPr>
              <w:br/>
              <w:t xml:space="preserve">On new optimal preventive maintenance strategies for navigation-information </w:t>
            </w:r>
            <w:r w:rsidRPr="00280EC5">
              <w:rPr>
                <w:lang w:val="en-US"/>
              </w:rPr>
              <w:lastRenderedPageBreak/>
              <w:t>systems with penalties</w:t>
            </w:r>
          </w:p>
        </w:tc>
        <w:tc>
          <w:tcPr>
            <w:tcW w:w="250" w:type="pct"/>
            <w:vAlign w:val="bottom"/>
            <w:hideMark/>
          </w:tcPr>
          <w:p w:rsidR="00280EC5" w:rsidRDefault="00280EC5">
            <w:pPr>
              <w:jc w:val="center"/>
              <w:rPr>
                <w:sz w:val="24"/>
                <w:szCs w:val="24"/>
              </w:rPr>
            </w:pPr>
            <w:r>
              <w:rPr>
                <w:b/>
                <w:bCs/>
              </w:rPr>
              <w:lastRenderedPageBreak/>
              <w:t>4</w:t>
            </w:r>
          </w:p>
        </w:tc>
        <w:tc>
          <w:tcPr>
            <w:tcW w:w="250" w:type="pct"/>
            <w:vAlign w:val="bottom"/>
            <w:hideMark/>
          </w:tcPr>
          <w:p w:rsidR="00280EC5" w:rsidRDefault="00280EC5">
            <w:pPr>
              <w:jc w:val="center"/>
              <w:rPr>
                <w:sz w:val="24"/>
                <w:szCs w:val="24"/>
              </w:rPr>
            </w:pPr>
            <w:r>
              <w:rPr>
                <w:b/>
                <w:bCs/>
              </w:rPr>
              <w:t>121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lastRenderedPageBreak/>
              <w:t>Gorelov Yu. N., L.V. Kurganskaya, A.I. Manturov, A.V. Sollogub, and V.E. Yurin</w:t>
            </w:r>
            <w:r w:rsidRPr="00280EC5">
              <w:rPr>
                <w:lang w:val="en-US"/>
              </w:rPr>
              <w:br/>
              <w:t>On Optimization of Attitude Control Programs for Earth Remote Sensing Satellite</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181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Kalaev M.P., V.V. Liubimov, N.D. Siomkin</w:t>
            </w:r>
            <w:r w:rsidRPr="00280EC5">
              <w:rPr>
                <w:lang w:val="en-US"/>
              </w:rPr>
              <w:br/>
              <w:t>Seminatural modeling and numerical simulation for the process of the small satellite separation</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52</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Kalantarov D., C. Search</w:t>
            </w:r>
            <w:r w:rsidRPr="00280EC5">
              <w:rPr>
                <w:lang w:val="en-US"/>
              </w:rPr>
              <w:br/>
              <w:t>Sensitivity limits of coupled resonator optical waveguide gyroscopes when subject to material losses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41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Karpik A.P., V.F. Kanushin, I.G. Ganagina, D.N. Goldobin, and E.M. Mazurova</w:t>
            </w:r>
            <w:r w:rsidRPr="00280EC5">
              <w:rPr>
                <w:lang w:val="en-US"/>
              </w:rPr>
              <w:br/>
              <w:t>Studies of spectral characteristics of CHAMP, GRA</w:t>
            </w:r>
            <w:r>
              <w:t>С</w:t>
            </w:r>
            <w:r w:rsidRPr="00280EC5">
              <w:rPr>
                <w:lang w:val="en-US"/>
              </w:rPr>
              <w:t>E, and GOCE global gravity field models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34</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Karpik A.P. and L.A. Lipatnikov</w:t>
            </w:r>
            <w:r w:rsidRPr="00280EC5">
              <w:rPr>
                <w:lang w:val="en-US"/>
              </w:rPr>
              <w:br/>
              <w:t>Joint use of high-precision positioning methods by GLONASS and GPS signals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45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Kebka K.G.l, A.G. Kebkal, V.K. Keblal</w:t>
            </w:r>
            <w:r w:rsidRPr="00280EC5">
              <w:rPr>
                <w:lang w:val="en-US"/>
              </w:rPr>
              <w:br/>
              <w:t>Synchronization tools of acoustic communication devices in control of underwater sensors, distributed antennas, and autonomous underwater vehicles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70</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Pr>
                <w:b/>
                <w:bCs/>
                <w:i/>
                <w:iCs/>
              </w:rPr>
              <w:t xml:space="preserve">Khruslov V.N., S.V. Feofilov, O.V. Goryachev. l.M. Lavit. </w:t>
            </w:r>
            <w:r w:rsidRPr="00280EC5">
              <w:rPr>
                <w:b/>
                <w:bCs/>
                <w:i/>
                <w:iCs/>
                <w:lang w:val="en-US"/>
              </w:rPr>
              <w:t>A.F. Indiiikhin</w:t>
            </w:r>
            <w:r w:rsidRPr="00280EC5">
              <w:rPr>
                <w:lang w:val="en-US"/>
              </w:rPr>
              <w:br/>
              <w:t>A method for the missile control by a scalar radius in the polar coordinate system</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92</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Kis L, B. Lantos</w:t>
            </w:r>
            <w:r w:rsidRPr="00280EC5">
              <w:rPr>
                <w:lang w:val="en-US"/>
              </w:rPr>
              <w:br/>
              <w:t>Development of state estimation system with INS, magnetometer and carrier phase GPS for vehicle navigation</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Klimkovich B. V.</w:t>
            </w:r>
            <w:r w:rsidRPr="00280EC5">
              <w:rPr>
                <w:lang w:val="en-US"/>
              </w:rPr>
              <w:br/>
              <w:t>SINS calibration in inertial mode. Combination of speed and scalar methods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29</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Koneshov V.N., V. B. Nepoklonov, V.N. Soloviov</w:t>
            </w:r>
            <w:r w:rsidRPr="00280EC5">
              <w:rPr>
                <w:lang w:val="en-US"/>
              </w:rPr>
              <w:br/>
              <w:t>Comparison of the global models for the terrestrial gravitational field anomaly with the aerogravimetric measurements during the transcontinental flight</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86</w:t>
            </w:r>
          </w:p>
        </w:tc>
      </w:tr>
      <w:tr w:rsidR="00280EC5" w:rsidTr="00280EC5">
        <w:trPr>
          <w:tblCellSpacing w:w="75" w:type="dxa"/>
          <w:jc w:val="center"/>
        </w:trPr>
        <w:tc>
          <w:tcPr>
            <w:tcW w:w="4000" w:type="pct"/>
            <w:vAlign w:val="center"/>
            <w:hideMark/>
          </w:tcPr>
          <w:p w:rsidR="00280EC5" w:rsidRDefault="00280EC5">
            <w:pPr>
              <w:rPr>
                <w:sz w:val="24"/>
                <w:szCs w:val="24"/>
              </w:rPr>
            </w:pPr>
            <w:r>
              <w:rPr>
                <w:b/>
                <w:bCs/>
                <w:i/>
                <w:iCs/>
              </w:rPr>
              <w:t>Korkishko Yu.N., V.A. Fedorov, V.E. Prilutskiy, V.G. Ponomarev, I.V.Morev, S.F. Skripnikov, M.I. Khmelevskaya, A.S. Buravlev, S.M.Kostritskiy, I.V. Fedorov, A.I.Zuev, V.K.Varnakov</w:t>
            </w:r>
            <w:r>
              <w:br/>
            </w:r>
            <w:r>
              <w:lastRenderedPageBreak/>
              <w:t>Strapdown Inertial Navigation Systems Based on Fiber Optic Gyroscopes</w:t>
            </w:r>
          </w:p>
        </w:tc>
        <w:tc>
          <w:tcPr>
            <w:tcW w:w="250" w:type="pct"/>
            <w:vAlign w:val="bottom"/>
            <w:hideMark/>
          </w:tcPr>
          <w:p w:rsidR="00280EC5" w:rsidRDefault="00280EC5">
            <w:pPr>
              <w:jc w:val="center"/>
              <w:rPr>
                <w:sz w:val="24"/>
                <w:szCs w:val="24"/>
              </w:rPr>
            </w:pPr>
            <w:r>
              <w:rPr>
                <w:b/>
                <w:bCs/>
              </w:rPr>
              <w:lastRenderedPageBreak/>
              <w:t>1</w:t>
            </w:r>
          </w:p>
        </w:tc>
        <w:tc>
          <w:tcPr>
            <w:tcW w:w="250" w:type="pct"/>
            <w:vAlign w:val="bottom"/>
            <w:hideMark/>
          </w:tcPr>
          <w:p w:rsidR="00280EC5" w:rsidRDefault="00280EC5">
            <w:pPr>
              <w:jc w:val="center"/>
              <w:rPr>
                <w:sz w:val="24"/>
                <w:szCs w:val="24"/>
              </w:rPr>
            </w:pPr>
            <w:r>
              <w:rPr>
                <w:b/>
                <w:bCs/>
              </w:rPr>
              <w:t>14</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lastRenderedPageBreak/>
              <w:t>Krasnov A.A., A.V.Cokolov, L.S.Elinson</w:t>
            </w:r>
            <w:r w:rsidRPr="00280EC5">
              <w:rPr>
                <w:lang w:val="en-US"/>
              </w:rPr>
              <w:br/>
              <w:t>A New Air-Sea Shelf Gravimeter of the Chekan Series</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26</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Kuznetsov A.G., B.I. Portnov, E.A. Izmailov</w:t>
            </w:r>
            <w:r w:rsidRPr="00280EC5">
              <w:rPr>
                <w:lang w:val="en-US"/>
              </w:rPr>
              <w:br/>
              <w:t>Development and tests of two classes of aircraft strapdown inertial navigation systems on laser gyros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Lestev A.M.</w:t>
            </w:r>
            <w:r w:rsidRPr="00280EC5">
              <w:rPr>
                <w:lang w:val="en-US"/>
              </w:rPr>
              <w:br/>
              <w:t>On combination resonances in dynamics of micromechanical gyroscopes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53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Using nonlinear functional analog-to-digital conversion for precision measurements of small electrical quantities in real time</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131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Maslov A.A., D.A. Maslov, I.V. Merkuriev</w:t>
            </w:r>
            <w:r w:rsidRPr="00280EC5">
              <w:rPr>
                <w:lang w:val="en-US"/>
              </w:rPr>
              <w:br/>
              <w:t>Study of the stationary modes of gyro resonator oscillations under positional excitation and parametric excitation accompanying it</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61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Meyer D., M. Larsen</w:t>
            </w:r>
            <w:r w:rsidRPr="00280EC5">
              <w:rPr>
                <w:lang w:val="en-US"/>
              </w:rPr>
              <w:br/>
              <w:t>Nuclear Magnetic Resonance Gyro for Inertial Navigation</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3</w:t>
            </w:r>
          </w:p>
        </w:tc>
      </w:tr>
      <w:tr w:rsidR="00280EC5" w:rsidTr="00280EC5">
        <w:trPr>
          <w:tblCellSpacing w:w="75" w:type="dxa"/>
          <w:jc w:val="center"/>
        </w:trPr>
        <w:tc>
          <w:tcPr>
            <w:tcW w:w="4000" w:type="pct"/>
            <w:vAlign w:val="center"/>
            <w:hideMark/>
          </w:tcPr>
          <w:p w:rsidR="00280EC5" w:rsidRDefault="00280EC5">
            <w:pPr>
              <w:rPr>
                <w:sz w:val="24"/>
                <w:szCs w:val="24"/>
              </w:rPr>
            </w:pPr>
            <w:r w:rsidRPr="00280EC5">
              <w:rPr>
                <w:b/>
                <w:bCs/>
                <w:i/>
                <w:iCs/>
                <w:lang w:val="en-US"/>
              </w:rPr>
              <w:t>Mikhailov N.V., V.V. Chistyakov</w:t>
            </w:r>
            <w:r w:rsidRPr="00280EC5">
              <w:rPr>
                <w:lang w:val="en-US"/>
              </w:rPr>
              <w:br/>
              <w:t xml:space="preserve">Signal Search Methods for Space-Based GNSS Receivers. </w:t>
            </w:r>
            <w:r>
              <w:t>Part 2. Calculation of combined search parameters</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70</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Mikhaylov N.V. and Koshaev D.</w:t>
            </w:r>
            <w:r>
              <w:rPr>
                <w:b/>
                <w:bCs/>
                <w:i/>
                <w:iCs/>
              </w:rPr>
              <w:t>А</w:t>
            </w:r>
            <w:r w:rsidRPr="00280EC5">
              <w:rPr>
                <w:b/>
                <w:bCs/>
                <w:i/>
                <w:iCs/>
                <w:lang w:val="en-US"/>
              </w:rPr>
              <w:t>.</w:t>
            </w:r>
            <w:r w:rsidRPr="00280EC5">
              <w:rPr>
                <w:lang w:val="en-US"/>
              </w:rPr>
              <w:br/>
              <w:t>Navigation of geostationary spacecraft using dynamic equations and periodical satellite measurements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16</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 xml:space="preserve">Pelevin </w:t>
            </w:r>
            <w:r>
              <w:rPr>
                <w:b/>
                <w:bCs/>
                <w:i/>
                <w:iCs/>
              </w:rPr>
              <w:t>А</w:t>
            </w:r>
            <w:r w:rsidRPr="00280EC5">
              <w:rPr>
                <w:b/>
                <w:bCs/>
                <w:i/>
                <w:iCs/>
                <w:lang w:val="en-US"/>
              </w:rPr>
              <w:t>.</w:t>
            </w:r>
            <w:r>
              <w:rPr>
                <w:b/>
                <w:bCs/>
                <w:i/>
                <w:iCs/>
              </w:rPr>
              <w:t>Е</w:t>
            </w:r>
            <w:r w:rsidRPr="00280EC5">
              <w:rPr>
                <w:b/>
                <w:bCs/>
                <w:i/>
                <w:iCs/>
                <w:lang w:val="en-US"/>
              </w:rPr>
              <w:t>.</w:t>
            </w:r>
            <w:r w:rsidRPr="00280EC5">
              <w:rPr>
                <w:lang w:val="en-US"/>
              </w:rPr>
              <w:br/>
              <w:t>Identification of object model parameters under external disturbances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111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Popp M., R. Granacher, and G.F. Trommer</w:t>
            </w:r>
            <w:r w:rsidRPr="00280EC5">
              <w:rPr>
                <w:lang w:val="en-US"/>
              </w:rPr>
              <w:br/>
              <w:t>Automatic detection of complex shaped buildings in aerial images to support the navigation of micro aerial vehicles in urban environment</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99</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Rahmati S., K. Kianfar, A. A. Kalat</w:t>
            </w:r>
            <w:r w:rsidRPr="00280EC5">
              <w:rPr>
                <w:lang w:val="en-US"/>
              </w:rPr>
              <w:br/>
              <w:t>Gravity gradiometry positioning system based on neuro-fuzzy modeling</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85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Severov L.A., V.K. Ponomarev, A.l. Panferov, N.A. Ovchinnikova</w:t>
            </w:r>
            <w:r w:rsidRPr="00280EC5">
              <w:rPr>
                <w:lang w:val="en-US"/>
              </w:rPr>
              <w:br/>
              <w:t>The structure and characteristics of a vibratory micromechanical rate sensor with the ring resonator</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59</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lastRenderedPageBreak/>
              <w:t>Skalon A.l.</w:t>
            </w:r>
            <w:r w:rsidRPr="00280EC5">
              <w:rPr>
                <w:lang w:val="en-US"/>
              </w:rPr>
              <w:br/>
              <w:t>Performance estimation of micromechanical inertial sensors based on self-oscillating systems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73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Sun Q. Li, F., F. Yu, W. Gao</w:t>
            </w:r>
            <w:r w:rsidRPr="00280EC5">
              <w:rPr>
                <w:lang w:val="en-US"/>
              </w:rPr>
              <w:br/>
              <w:t>The Use of Adaptive Network-based Fuzzy Inference System for Marine AHRS</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62</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Vitushkin L.F., O.A. Orlov</w:t>
            </w:r>
            <w:r w:rsidRPr="00280EC5">
              <w:rPr>
                <w:lang w:val="en-US"/>
              </w:rPr>
              <w:br/>
              <w:t>Absolute ballistic gravimeter ABG-VNIIM-1 by Mendeleev Research Institute for Metrology</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95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Wankerl M., G. F. Trommer</w:t>
            </w:r>
            <w:r w:rsidRPr="00280EC5">
              <w:rPr>
                <w:lang w:val="en-US"/>
              </w:rPr>
              <w:br/>
              <w:t>Evaluation of a Segmented Navigation Filter Approach for Vehicle Self-Localization in Urban Environment</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35</w:t>
            </w:r>
          </w:p>
        </w:tc>
      </w:tr>
      <w:tr w:rsidR="00280EC5" w:rsidRPr="00280EC5" w:rsidTr="00280EC5">
        <w:trPr>
          <w:tblCellSpacing w:w="75" w:type="dxa"/>
          <w:jc w:val="center"/>
        </w:trPr>
        <w:tc>
          <w:tcPr>
            <w:tcW w:w="5000" w:type="pct"/>
            <w:gridSpan w:val="3"/>
            <w:vAlign w:val="center"/>
            <w:hideMark/>
          </w:tcPr>
          <w:p w:rsidR="00280EC5" w:rsidRPr="00280EC5" w:rsidRDefault="00280EC5">
            <w:pPr>
              <w:jc w:val="center"/>
              <w:rPr>
                <w:sz w:val="24"/>
                <w:szCs w:val="24"/>
                <w:lang w:val="en-US"/>
              </w:rPr>
            </w:pPr>
            <w:r w:rsidRPr="00280EC5">
              <w:rPr>
                <w:lang w:val="en-US"/>
              </w:rPr>
              <w:t>_____________________________________________________________________</w:t>
            </w:r>
            <w:r w:rsidRPr="00280EC5">
              <w:rPr>
                <w:lang w:val="en-US"/>
              </w:rPr>
              <w:br/>
            </w:r>
            <w:r w:rsidRPr="00280EC5">
              <w:rPr>
                <w:lang w:val="en-US"/>
              </w:rPr>
              <w:br/>
            </w:r>
            <w:r w:rsidRPr="00280EC5">
              <w:rPr>
                <w:b/>
                <w:bCs/>
                <w:lang w:val="en-US"/>
              </w:rPr>
              <w:t>Materials of the 16th Conference of Young Scientists Navigation and Motion Control</w:t>
            </w:r>
          </w:p>
        </w:tc>
      </w:tr>
      <w:tr w:rsidR="00280EC5" w:rsidTr="00280EC5">
        <w:trPr>
          <w:tblCellSpacing w:w="75" w:type="dxa"/>
          <w:jc w:val="center"/>
        </w:trPr>
        <w:tc>
          <w:tcPr>
            <w:tcW w:w="4000" w:type="pct"/>
            <w:vAlign w:val="center"/>
            <w:hideMark/>
          </w:tcPr>
          <w:p w:rsidR="00280EC5" w:rsidRDefault="00280EC5">
            <w:pPr>
              <w:rPr>
                <w:sz w:val="24"/>
                <w:szCs w:val="24"/>
              </w:rPr>
            </w:pPr>
            <w:r>
              <w:t>Abstracts of the papers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102</w:t>
            </w:r>
          </w:p>
        </w:tc>
      </w:tr>
      <w:tr w:rsidR="00280EC5" w:rsidTr="00280EC5">
        <w:trPr>
          <w:tblCellSpacing w:w="75" w:type="dxa"/>
          <w:jc w:val="center"/>
        </w:trPr>
        <w:tc>
          <w:tcPr>
            <w:tcW w:w="5000" w:type="pct"/>
            <w:gridSpan w:val="3"/>
            <w:vAlign w:val="center"/>
            <w:hideMark/>
          </w:tcPr>
          <w:p w:rsidR="00280EC5" w:rsidRDefault="00280EC5">
            <w:pPr>
              <w:jc w:val="center"/>
              <w:rPr>
                <w:sz w:val="24"/>
                <w:szCs w:val="24"/>
              </w:rPr>
            </w:pPr>
            <w:r>
              <w:t>_____________________________________________________________________</w:t>
            </w:r>
            <w:r>
              <w:br/>
            </w:r>
            <w:r>
              <w:br/>
            </w:r>
            <w:r>
              <w:rPr>
                <w:b/>
                <w:bCs/>
              </w:rPr>
              <w:t>Brief notes</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Krasnov A.A., A.V.Cokolov, L.S.Elinson</w:t>
            </w:r>
            <w:r w:rsidRPr="00280EC5">
              <w:rPr>
                <w:lang w:val="en-US"/>
              </w:rPr>
              <w:br/>
              <w:t>Operational Experience with the Chekan-AM Gravimeter</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98</w:t>
            </w:r>
          </w:p>
        </w:tc>
      </w:tr>
      <w:tr w:rsidR="00280EC5" w:rsidRPr="00280EC5" w:rsidTr="00280EC5">
        <w:trPr>
          <w:tblCellSpacing w:w="75" w:type="dxa"/>
          <w:jc w:val="center"/>
        </w:trPr>
        <w:tc>
          <w:tcPr>
            <w:tcW w:w="5000" w:type="pct"/>
            <w:gridSpan w:val="3"/>
            <w:vAlign w:val="center"/>
            <w:hideMark/>
          </w:tcPr>
          <w:p w:rsidR="00280EC5" w:rsidRPr="00280EC5" w:rsidRDefault="00280EC5">
            <w:pPr>
              <w:jc w:val="center"/>
              <w:rPr>
                <w:sz w:val="24"/>
                <w:szCs w:val="24"/>
                <w:lang w:val="en-US"/>
              </w:rPr>
            </w:pPr>
            <w:r w:rsidRPr="00280EC5">
              <w:rPr>
                <w:lang w:val="en-US"/>
              </w:rPr>
              <w:t>_____________________________________________________________________</w:t>
            </w:r>
            <w:r w:rsidRPr="00280EC5">
              <w:rPr>
                <w:lang w:val="en-US"/>
              </w:rPr>
              <w:br/>
            </w:r>
            <w:r w:rsidRPr="00280EC5">
              <w:rPr>
                <w:lang w:val="en-US"/>
              </w:rPr>
              <w:br/>
            </w:r>
            <w:r w:rsidRPr="00280EC5">
              <w:rPr>
                <w:b/>
                <w:bCs/>
                <w:lang w:val="en-US"/>
              </w:rPr>
              <w:t>International Public Association</w:t>
            </w:r>
            <w:r w:rsidRPr="00280EC5">
              <w:rPr>
                <w:b/>
                <w:bCs/>
                <w:lang w:val="en-US"/>
              </w:rPr>
              <w:br/>
              <w:t>The Academy of Navigation and Motion Control</w:t>
            </w:r>
            <w:r w:rsidRPr="00280EC5">
              <w:rPr>
                <w:b/>
                <w:bCs/>
                <w:lang w:val="en-US"/>
              </w:rPr>
              <w:br/>
              <w:t>O f f i c i a l   i n f o r m a t i o n</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On the 80th birthday of Academician of the Russian Academy of Sciences Prof. Vladimir G. Peshekhonov, President of the Academy of Navigation and Motion Control, General Director of Concern CSRI Elektropribor, JSC</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145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Rivkin B.S.</w:t>
            </w:r>
            <w:r w:rsidRPr="00280EC5">
              <w:rPr>
                <w:lang w:val="en-US"/>
              </w:rPr>
              <w:br/>
              <w:t>The European Navigation Conference ENC-GNSS 2014</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151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The XXXVII General Meeting of the International Public Association - Academy of Navigation and Motion Control</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149</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lastRenderedPageBreak/>
              <w:t>The XXXVIII General Meeting of the International Public Association - Academy of Navigation and Motion Control</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142</w:t>
            </w:r>
          </w:p>
        </w:tc>
      </w:tr>
      <w:tr w:rsidR="00280EC5" w:rsidTr="00280EC5">
        <w:trPr>
          <w:tblCellSpacing w:w="75" w:type="dxa"/>
          <w:jc w:val="center"/>
        </w:trPr>
        <w:tc>
          <w:tcPr>
            <w:tcW w:w="5000" w:type="pct"/>
            <w:gridSpan w:val="3"/>
            <w:vAlign w:val="center"/>
            <w:hideMark/>
          </w:tcPr>
          <w:p w:rsidR="00280EC5" w:rsidRDefault="00280EC5">
            <w:pPr>
              <w:jc w:val="center"/>
              <w:rPr>
                <w:sz w:val="24"/>
                <w:szCs w:val="24"/>
              </w:rPr>
            </w:pPr>
            <w:r>
              <w:t>_____________________________________________________________________</w:t>
            </w:r>
            <w:r>
              <w:br/>
            </w:r>
            <w:r>
              <w:br/>
            </w:r>
            <w:r>
              <w:rPr>
                <w:b/>
                <w:bCs/>
              </w:rPr>
              <w:t>Pages of history</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To the 100th anniversary of birthday of Admiral A.I. Rassokho</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145</w:t>
            </w:r>
          </w:p>
        </w:tc>
      </w:tr>
      <w:tr w:rsidR="00280EC5" w:rsidTr="00280EC5">
        <w:trPr>
          <w:tblCellSpacing w:w="75" w:type="dxa"/>
          <w:jc w:val="center"/>
        </w:trPr>
        <w:tc>
          <w:tcPr>
            <w:tcW w:w="5000" w:type="pct"/>
            <w:gridSpan w:val="3"/>
            <w:vAlign w:val="center"/>
            <w:hideMark/>
          </w:tcPr>
          <w:p w:rsidR="00280EC5" w:rsidRDefault="00280EC5">
            <w:pPr>
              <w:jc w:val="center"/>
              <w:rPr>
                <w:sz w:val="24"/>
                <w:szCs w:val="24"/>
              </w:rPr>
            </w:pPr>
            <w:r>
              <w:t>_____________________________________________________________________</w:t>
            </w:r>
            <w:r>
              <w:br/>
            </w:r>
            <w:r>
              <w:br/>
            </w:r>
            <w:r>
              <w:rPr>
                <w:b/>
                <w:bCs/>
              </w:rPr>
              <w:t>New books</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b/>
                <w:bCs/>
                <w:i/>
                <w:iCs/>
                <w:lang w:val="en-US"/>
              </w:rPr>
              <w:t>Lukin N.A.</w:t>
            </w:r>
            <w:r w:rsidRPr="00280EC5">
              <w:rPr>
                <w:lang w:val="en-US"/>
              </w:rPr>
              <w:br/>
              <w:t>On the book </w:t>
            </w:r>
            <w:r w:rsidRPr="00280EC5">
              <w:rPr>
                <w:i/>
                <w:iCs/>
                <w:lang w:val="en-US"/>
              </w:rPr>
              <w:t>Real-time systems. Planning, analysis, diagnostics</w:t>
            </w:r>
            <w:r w:rsidRPr="00280EC5">
              <w:rPr>
                <w:lang w:val="en-US"/>
              </w:rPr>
              <w:t> by N.V. Kolesov, M.V. Tolmacheva, and P.V. Yukhta</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147</w:t>
            </w:r>
          </w:p>
        </w:tc>
      </w:tr>
      <w:tr w:rsidR="00280EC5" w:rsidTr="00280EC5">
        <w:trPr>
          <w:tblCellSpacing w:w="75" w:type="dxa"/>
          <w:jc w:val="center"/>
        </w:trPr>
        <w:tc>
          <w:tcPr>
            <w:tcW w:w="5000" w:type="pct"/>
            <w:gridSpan w:val="3"/>
            <w:vAlign w:val="center"/>
            <w:hideMark/>
          </w:tcPr>
          <w:p w:rsidR="00280EC5" w:rsidRDefault="00280EC5">
            <w:pPr>
              <w:jc w:val="center"/>
              <w:rPr>
                <w:sz w:val="24"/>
                <w:szCs w:val="24"/>
              </w:rPr>
            </w:pPr>
            <w:r>
              <w:t>_____________________________________________________________________</w:t>
            </w:r>
            <w:r>
              <w:br/>
            </w:r>
            <w:r>
              <w:br/>
            </w:r>
            <w:r>
              <w:rPr>
                <w:b/>
                <w:bCs/>
              </w:rPr>
              <w:t>Information</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Russian and international conferences, symposia and exhibitions</w:t>
            </w:r>
          </w:p>
        </w:tc>
        <w:tc>
          <w:tcPr>
            <w:tcW w:w="250" w:type="pct"/>
            <w:vAlign w:val="bottom"/>
            <w:hideMark/>
          </w:tcPr>
          <w:p w:rsidR="00280EC5" w:rsidRDefault="00280EC5">
            <w:pPr>
              <w:jc w:val="center"/>
              <w:rPr>
                <w:sz w:val="24"/>
                <w:szCs w:val="24"/>
              </w:rPr>
            </w:pPr>
            <w:r>
              <w:rPr>
                <w:b/>
                <w:bCs/>
              </w:rPr>
              <w:t>1</w:t>
            </w:r>
          </w:p>
        </w:tc>
        <w:tc>
          <w:tcPr>
            <w:tcW w:w="250" w:type="pct"/>
            <w:vAlign w:val="bottom"/>
            <w:hideMark/>
          </w:tcPr>
          <w:p w:rsidR="00280EC5" w:rsidRDefault="00280EC5">
            <w:pPr>
              <w:jc w:val="center"/>
              <w:rPr>
                <w:sz w:val="24"/>
                <w:szCs w:val="24"/>
              </w:rPr>
            </w:pPr>
            <w:r>
              <w:rPr>
                <w:b/>
                <w:bCs/>
              </w:rPr>
              <w:t>105</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Russian and international conferences, symposia and exhibitions</w:t>
            </w:r>
          </w:p>
        </w:tc>
        <w:tc>
          <w:tcPr>
            <w:tcW w:w="250" w:type="pct"/>
            <w:vAlign w:val="bottom"/>
            <w:hideMark/>
          </w:tcPr>
          <w:p w:rsidR="00280EC5" w:rsidRDefault="00280EC5">
            <w:pPr>
              <w:jc w:val="center"/>
              <w:rPr>
                <w:sz w:val="24"/>
                <w:szCs w:val="24"/>
              </w:rPr>
            </w:pPr>
            <w:r>
              <w:rPr>
                <w:b/>
                <w:bCs/>
              </w:rPr>
              <w:t>2</w:t>
            </w:r>
          </w:p>
        </w:tc>
        <w:tc>
          <w:tcPr>
            <w:tcW w:w="250" w:type="pct"/>
            <w:vAlign w:val="bottom"/>
            <w:hideMark/>
          </w:tcPr>
          <w:p w:rsidR="00280EC5" w:rsidRDefault="00280EC5">
            <w:pPr>
              <w:jc w:val="center"/>
              <w:rPr>
                <w:sz w:val="24"/>
                <w:szCs w:val="24"/>
              </w:rPr>
            </w:pPr>
            <w:r>
              <w:rPr>
                <w:b/>
                <w:bCs/>
              </w:rPr>
              <w:t>161</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Russian and international conferences, symposia and exhibitions</w:t>
            </w:r>
          </w:p>
        </w:tc>
        <w:tc>
          <w:tcPr>
            <w:tcW w:w="250" w:type="pct"/>
            <w:vAlign w:val="bottom"/>
            <w:hideMark/>
          </w:tcPr>
          <w:p w:rsidR="00280EC5" w:rsidRDefault="00280EC5">
            <w:pPr>
              <w:jc w:val="center"/>
              <w:rPr>
                <w:sz w:val="24"/>
                <w:szCs w:val="24"/>
              </w:rPr>
            </w:pPr>
            <w:r>
              <w:rPr>
                <w:b/>
                <w:bCs/>
              </w:rPr>
              <w:t>3</w:t>
            </w:r>
          </w:p>
        </w:tc>
        <w:tc>
          <w:tcPr>
            <w:tcW w:w="250" w:type="pct"/>
            <w:vAlign w:val="bottom"/>
            <w:hideMark/>
          </w:tcPr>
          <w:p w:rsidR="00280EC5" w:rsidRDefault="00280EC5">
            <w:pPr>
              <w:jc w:val="center"/>
              <w:rPr>
                <w:sz w:val="24"/>
                <w:szCs w:val="24"/>
              </w:rPr>
            </w:pPr>
            <w:r>
              <w:rPr>
                <w:b/>
                <w:bCs/>
              </w:rPr>
              <w:t>103</w:t>
            </w:r>
          </w:p>
        </w:tc>
      </w:tr>
      <w:tr w:rsidR="00280EC5" w:rsidTr="00280EC5">
        <w:trPr>
          <w:tblCellSpacing w:w="75" w:type="dxa"/>
          <w:jc w:val="center"/>
        </w:trPr>
        <w:tc>
          <w:tcPr>
            <w:tcW w:w="4000" w:type="pct"/>
            <w:vAlign w:val="center"/>
            <w:hideMark/>
          </w:tcPr>
          <w:p w:rsidR="00280EC5" w:rsidRPr="00280EC5" w:rsidRDefault="00280EC5">
            <w:pPr>
              <w:rPr>
                <w:sz w:val="24"/>
                <w:szCs w:val="24"/>
                <w:lang w:val="en-US"/>
              </w:rPr>
            </w:pPr>
            <w:r w:rsidRPr="00280EC5">
              <w:rPr>
                <w:lang w:val="en-US"/>
              </w:rPr>
              <w:t>Russian and international conferences, symposia and exhibitions</w:t>
            </w:r>
          </w:p>
        </w:tc>
        <w:tc>
          <w:tcPr>
            <w:tcW w:w="250" w:type="pct"/>
            <w:vAlign w:val="bottom"/>
            <w:hideMark/>
          </w:tcPr>
          <w:p w:rsidR="00280EC5" w:rsidRDefault="00280EC5">
            <w:pPr>
              <w:jc w:val="center"/>
              <w:rPr>
                <w:sz w:val="24"/>
                <w:szCs w:val="24"/>
              </w:rPr>
            </w:pPr>
            <w:r>
              <w:rPr>
                <w:b/>
                <w:bCs/>
              </w:rPr>
              <w:t>4</w:t>
            </w:r>
          </w:p>
        </w:tc>
        <w:tc>
          <w:tcPr>
            <w:tcW w:w="250" w:type="pct"/>
            <w:vAlign w:val="bottom"/>
            <w:hideMark/>
          </w:tcPr>
          <w:p w:rsidR="00280EC5" w:rsidRDefault="00280EC5">
            <w:pPr>
              <w:jc w:val="center"/>
              <w:rPr>
                <w:sz w:val="24"/>
                <w:szCs w:val="24"/>
              </w:rPr>
            </w:pPr>
            <w:r>
              <w:rPr>
                <w:b/>
                <w:bCs/>
              </w:rPr>
              <w:t>150</w:t>
            </w:r>
          </w:p>
        </w:tc>
      </w:tr>
    </w:tbl>
    <w:p w:rsidR="006F35EC" w:rsidRPr="00280EC5" w:rsidRDefault="006F35EC" w:rsidP="00280EC5"/>
    <w:sectPr w:rsidR="006F35EC" w:rsidRPr="00280EC5"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8E" w:rsidRDefault="0097398E" w:rsidP="00463F60">
      <w:pPr>
        <w:spacing w:after="0" w:line="240" w:lineRule="auto"/>
      </w:pPr>
      <w:r>
        <w:separator/>
      </w:r>
    </w:p>
  </w:endnote>
  <w:endnote w:type="continuationSeparator" w:id="0">
    <w:p w:rsidR="0097398E" w:rsidRDefault="0097398E"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8E" w:rsidRDefault="0097398E" w:rsidP="00463F60">
      <w:pPr>
        <w:spacing w:after="0" w:line="240" w:lineRule="auto"/>
      </w:pPr>
      <w:r>
        <w:separator/>
      </w:r>
    </w:p>
  </w:footnote>
  <w:footnote w:type="continuationSeparator" w:id="0">
    <w:p w:rsidR="0097398E" w:rsidRDefault="0097398E"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80EC5"/>
    <w:rsid w:val="002A2026"/>
    <w:rsid w:val="00322703"/>
    <w:rsid w:val="003610AA"/>
    <w:rsid w:val="003754B4"/>
    <w:rsid w:val="003B2876"/>
    <w:rsid w:val="003C3A90"/>
    <w:rsid w:val="00412C32"/>
    <w:rsid w:val="00463F60"/>
    <w:rsid w:val="00477C63"/>
    <w:rsid w:val="004802D1"/>
    <w:rsid w:val="004847E1"/>
    <w:rsid w:val="004B4E66"/>
    <w:rsid w:val="004B7C78"/>
    <w:rsid w:val="004F39CF"/>
    <w:rsid w:val="0052153A"/>
    <w:rsid w:val="0054691C"/>
    <w:rsid w:val="00586B75"/>
    <w:rsid w:val="005A7D4D"/>
    <w:rsid w:val="005B1A81"/>
    <w:rsid w:val="005B5B9E"/>
    <w:rsid w:val="005C6DC3"/>
    <w:rsid w:val="005D25F4"/>
    <w:rsid w:val="00603BA8"/>
    <w:rsid w:val="00682FA7"/>
    <w:rsid w:val="006A778D"/>
    <w:rsid w:val="006B1AE7"/>
    <w:rsid w:val="006C7A8A"/>
    <w:rsid w:val="006F35EC"/>
    <w:rsid w:val="00720940"/>
    <w:rsid w:val="00744BB9"/>
    <w:rsid w:val="00780AFC"/>
    <w:rsid w:val="007A146E"/>
    <w:rsid w:val="007B6546"/>
    <w:rsid w:val="00854A69"/>
    <w:rsid w:val="00857D8F"/>
    <w:rsid w:val="00885DB9"/>
    <w:rsid w:val="00896E94"/>
    <w:rsid w:val="008C5528"/>
    <w:rsid w:val="0090305A"/>
    <w:rsid w:val="00970F99"/>
    <w:rsid w:val="0097398E"/>
    <w:rsid w:val="009F42AA"/>
    <w:rsid w:val="00A03D40"/>
    <w:rsid w:val="00A03EE9"/>
    <w:rsid w:val="00A211E1"/>
    <w:rsid w:val="00A735CE"/>
    <w:rsid w:val="00AD252C"/>
    <w:rsid w:val="00B30139"/>
    <w:rsid w:val="00B444F7"/>
    <w:rsid w:val="00BC7FEE"/>
    <w:rsid w:val="00BF6DF6"/>
    <w:rsid w:val="00C000AA"/>
    <w:rsid w:val="00C06F35"/>
    <w:rsid w:val="00C44E14"/>
    <w:rsid w:val="00C6042C"/>
    <w:rsid w:val="00C86F77"/>
    <w:rsid w:val="00C94F42"/>
    <w:rsid w:val="00CC3BEC"/>
    <w:rsid w:val="00CC4E39"/>
    <w:rsid w:val="00CF796B"/>
    <w:rsid w:val="00D3153F"/>
    <w:rsid w:val="00D42AD7"/>
    <w:rsid w:val="00D4740F"/>
    <w:rsid w:val="00D76E24"/>
    <w:rsid w:val="00DA1329"/>
    <w:rsid w:val="00DA4C49"/>
    <w:rsid w:val="00DB3B16"/>
    <w:rsid w:val="00DC1BAF"/>
    <w:rsid w:val="00DC243A"/>
    <w:rsid w:val="00E17425"/>
    <w:rsid w:val="00E26362"/>
    <w:rsid w:val="00E50B3A"/>
    <w:rsid w:val="00EB7FE9"/>
    <w:rsid w:val="00ED6156"/>
    <w:rsid w:val="00EE4123"/>
    <w:rsid w:val="00F6788E"/>
    <w:rsid w:val="00FA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17500533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6592">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17050329">
      <w:bodyDiv w:val="1"/>
      <w:marLeft w:val="0"/>
      <w:marRight w:val="0"/>
      <w:marTop w:val="0"/>
      <w:marBottom w:val="0"/>
      <w:divBdr>
        <w:top w:val="none" w:sz="0" w:space="0" w:color="auto"/>
        <w:left w:val="none" w:sz="0" w:space="0" w:color="auto"/>
        <w:bottom w:val="none" w:sz="0" w:space="0" w:color="auto"/>
        <w:right w:val="none" w:sz="0" w:space="0" w:color="auto"/>
      </w:divBdr>
      <w:divsChild>
        <w:div w:id="48794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8090">
              <w:marLeft w:val="0"/>
              <w:marRight w:val="0"/>
              <w:marTop w:val="0"/>
              <w:marBottom w:val="0"/>
              <w:divBdr>
                <w:top w:val="none" w:sz="0" w:space="0" w:color="auto"/>
                <w:left w:val="none" w:sz="0" w:space="0" w:color="auto"/>
                <w:bottom w:val="none" w:sz="0" w:space="0" w:color="auto"/>
                <w:right w:val="none" w:sz="0" w:space="0" w:color="auto"/>
              </w:divBdr>
            </w:div>
          </w:divsChild>
        </w:div>
        <w:div w:id="902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74681">
              <w:marLeft w:val="0"/>
              <w:marRight w:val="0"/>
              <w:marTop w:val="0"/>
              <w:marBottom w:val="0"/>
              <w:divBdr>
                <w:top w:val="none" w:sz="0" w:space="0" w:color="auto"/>
                <w:left w:val="none" w:sz="0" w:space="0" w:color="auto"/>
                <w:bottom w:val="none" w:sz="0" w:space="0" w:color="auto"/>
                <w:right w:val="none" w:sz="0" w:space="0" w:color="auto"/>
              </w:divBdr>
            </w:div>
          </w:divsChild>
        </w:div>
        <w:div w:id="7742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326795">
              <w:marLeft w:val="0"/>
              <w:marRight w:val="0"/>
              <w:marTop w:val="0"/>
              <w:marBottom w:val="0"/>
              <w:divBdr>
                <w:top w:val="none" w:sz="0" w:space="0" w:color="auto"/>
                <w:left w:val="none" w:sz="0" w:space="0" w:color="auto"/>
                <w:bottom w:val="none" w:sz="0" w:space="0" w:color="auto"/>
                <w:right w:val="none" w:sz="0" w:space="0" w:color="auto"/>
              </w:divBdr>
            </w:div>
          </w:divsChild>
        </w:div>
        <w:div w:id="14440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11761">
              <w:marLeft w:val="0"/>
              <w:marRight w:val="0"/>
              <w:marTop w:val="0"/>
              <w:marBottom w:val="0"/>
              <w:divBdr>
                <w:top w:val="none" w:sz="0" w:space="0" w:color="auto"/>
                <w:left w:val="none" w:sz="0" w:space="0" w:color="auto"/>
                <w:bottom w:val="none" w:sz="0" w:space="0" w:color="auto"/>
                <w:right w:val="none" w:sz="0" w:space="0" w:color="auto"/>
              </w:divBdr>
            </w:div>
          </w:divsChild>
        </w:div>
        <w:div w:id="17048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568982">
              <w:marLeft w:val="0"/>
              <w:marRight w:val="0"/>
              <w:marTop w:val="0"/>
              <w:marBottom w:val="0"/>
              <w:divBdr>
                <w:top w:val="none" w:sz="0" w:space="0" w:color="auto"/>
                <w:left w:val="none" w:sz="0" w:space="0" w:color="auto"/>
                <w:bottom w:val="none" w:sz="0" w:space="0" w:color="auto"/>
                <w:right w:val="none" w:sz="0" w:space="0" w:color="auto"/>
              </w:divBdr>
            </w:div>
          </w:divsChild>
        </w:div>
        <w:div w:id="1199855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13097">
              <w:marLeft w:val="0"/>
              <w:marRight w:val="0"/>
              <w:marTop w:val="0"/>
              <w:marBottom w:val="0"/>
              <w:divBdr>
                <w:top w:val="none" w:sz="0" w:space="0" w:color="auto"/>
                <w:left w:val="none" w:sz="0" w:space="0" w:color="auto"/>
                <w:bottom w:val="none" w:sz="0" w:space="0" w:color="auto"/>
                <w:right w:val="none" w:sz="0" w:space="0" w:color="auto"/>
              </w:divBdr>
            </w:div>
          </w:divsChild>
        </w:div>
        <w:div w:id="184447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60076">
              <w:marLeft w:val="0"/>
              <w:marRight w:val="0"/>
              <w:marTop w:val="0"/>
              <w:marBottom w:val="0"/>
              <w:divBdr>
                <w:top w:val="none" w:sz="0" w:space="0" w:color="auto"/>
                <w:left w:val="none" w:sz="0" w:space="0" w:color="auto"/>
                <w:bottom w:val="none" w:sz="0" w:space="0" w:color="auto"/>
                <w:right w:val="none" w:sz="0" w:space="0" w:color="auto"/>
              </w:divBdr>
            </w:div>
          </w:divsChild>
        </w:div>
        <w:div w:id="81972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8958">
              <w:marLeft w:val="0"/>
              <w:marRight w:val="0"/>
              <w:marTop w:val="0"/>
              <w:marBottom w:val="0"/>
              <w:divBdr>
                <w:top w:val="none" w:sz="0" w:space="0" w:color="auto"/>
                <w:left w:val="none" w:sz="0" w:space="0" w:color="auto"/>
                <w:bottom w:val="none" w:sz="0" w:space="0" w:color="auto"/>
                <w:right w:val="none" w:sz="0" w:space="0" w:color="auto"/>
              </w:divBdr>
            </w:div>
          </w:divsChild>
        </w:div>
        <w:div w:id="141474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2048166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85176982">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18446">
              <w:marLeft w:val="0"/>
              <w:marRight w:val="0"/>
              <w:marTop w:val="0"/>
              <w:marBottom w:val="0"/>
              <w:divBdr>
                <w:top w:val="none" w:sz="0" w:space="0" w:color="auto"/>
                <w:left w:val="none" w:sz="0" w:space="0" w:color="auto"/>
                <w:bottom w:val="none" w:sz="0" w:space="0" w:color="auto"/>
                <w:right w:val="none" w:sz="0" w:space="0" w:color="auto"/>
              </w:divBdr>
            </w:div>
          </w:divsChild>
        </w:div>
        <w:div w:id="32212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4990">
              <w:marLeft w:val="0"/>
              <w:marRight w:val="0"/>
              <w:marTop w:val="0"/>
              <w:marBottom w:val="0"/>
              <w:divBdr>
                <w:top w:val="none" w:sz="0" w:space="0" w:color="auto"/>
                <w:left w:val="none" w:sz="0" w:space="0" w:color="auto"/>
                <w:bottom w:val="none" w:sz="0" w:space="0" w:color="auto"/>
                <w:right w:val="none" w:sz="0" w:space="0" w:color="auto"/>
              </w:divBdr>
            </w:div>
          </w:divsChild>
        </w:div>
        <w:div w:id="121669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2800">
              <w:marLeft w:val="0"/>
              <w:marRight w:val="0"/>
              <w:marTop w:val="0"/>
              <w:marBottom w:val="0"/>
              <w:divBdr>
                <w:top w:val="none" w:sz="0" w:space="0" w:color="auto"/>
                <w:left w:val="none" w:sz="0" w:space="0" w:color="auto"/>
                <w:bottom w:val="none" w:sz="0" w:space="0" w:color="auto"/>
                <w:right w:val="none" w:sz="0" w:space="0" w:color="auto"/>
              </w:divBdr>
            </w:div>
          </w:divsChild>
        </w:div>
        <w:div w:id="213332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8163">
              <w:marLeft w:val="0"/>
              <w:marRight w:val="0"/>
              <w:marTop w:val="0"/>
              <w:marBottom w:val="0"/>
              <w:divBdr>
                <w:top w:val="none" w:sz="0" w:space="0" w:color="auto"/>
                <w:left w:val="none" w:sz="0" w:space="0" w:color="auto"/>
                <w:bottom w:val="none" w:sz="0" w:space="0" w:color="auto"/>
                <w:right w:val="none" w:sz="0" w:space="0" w:color="auto"/>
              </w:divBdr>
            </w:div>
          </w:divsChild>
        </w:div>
        <w:div w:id="118004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57651">
              <w:marLeft w:val="0"/>
              <w:marRight w:val="0"/>
              <w:marTop w:val="0"/>
              <w:marBottom w:val="0"/>
              <w:divBdr>
                <w:top w:val="none" w:sz="0" w:space="0" w:color="auto"/>
                <w:left w:val="none" w:sz="0" w:space="0" w:color="auto"/>
                <w:bottom w:val="none" w:sz="0" w:space="0" w:color="auto"/>
                <w:right w:val="none" w:sz="0" w:space="0" w:color="auto"/>
              </w:divBdr>
            </w:div>
          </w:divsChild>
        </w:div>
        <w:div w:id="213741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52655">
              <w:marLeft w:val="0"/>
              <w:marRight w:val="0"/>
              <w:marTop w:val="0"/>
              <w:marBottom w:val="0"/>
              <w:divBdr>
                <w:top w:val="none" w:sz="0" w:space="0" w:color="auto"/>
                <w:left w:val="none" w:sz="0" w:space="0" w:color="auto"/>
                <w:bottom w:val="none" w:sz="0" w:space="0" w:color="auto"/>
                <w:right w:val="none" w:sz="0" w:space="0" w:color="auto"/>
              </w:divBdr>
            </w:div>
          </w:divsChild>
        </w:div>
        <w:div w:id="107566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19167">
              <w:marLeft w:val="0"/>
              <w:marRight w:val="0"/>
              <w:marTop w:val="0"/>
              <w:marBottom w:val="0"/>
              <w:divBdr>
                <w:top w:val="none" w:sz="0" w:space="0" w:color="auto"/>
                <w:left w:val="none" w:sz="0" w:space="0" w:color="auto"/>
                <w:bottom w:val="none" w:sz="0" w:space="0" w:color="auto"/>
                <w:right w:val="none" w:sz="0" w:space="0" w:color="auto"/>
              </w:divBdr>
            </w:div>
          </w:divsChild>
        </w:div>
        <w:div w:id="151376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694519">
              <w:marLeft w:val="0"/>
              <w:marRight w:val="0"/>
              <w:marTop w:val="0"/>
              <w:marBottom w:val="0"/>
              <w:divBdr>
                <w:top w:val="none" w:sz="0" w:space="0" w:color="auto"/>
                <w:left w:val="none" w:sz="0" w:space="0" w:color="auto"/>
                <w:bottom w:val="none" w:sz="0" w:space="0" w:color="auto"/>
                <w:right w:val="none" w:sz="0" w:space="0" w:color="auto"/>
              </w:divBdr>
            </w:div>
          </w:divsChild>
        </w:div>
        <w:div w:id="145243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06017">
              <w:marLeft w:val="0"/>
              <w:marRight w:val="0"/>
              <w:marTop w:val="0"/>
              <w:marBottom w:val="0"/>
              <w:divBdr>
                <w:top w:val="none" w:sz="0" w:space="0" w:color="auto"/>
                <w:left w:val="none" w:sz="0" w:space="0" w:color="auto"/>
                <w:bottom w:val="none" w:sz="0" w:space="0" w:color="auto"/>
                <w:right w:val="none" w:sz="0" w:space="0" w:color="auto"/>
              </w:divBdr>
            </w:div>
          </w:divsChild>
        </w:div>
        <w:div w:id="154652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8540">
              <w:marLeft w:val="0"/>
              <w:marRight w:val="0"/>
              <w:marTop w:val="0"/>
              <w:marBottom w:val="0"/>
              <w:divBdr>
                <w:top w:val="none" w:sz="0" w:space="0" w:color="auto"/>
                <w:left w:val="none" w:sz="0" w:space="0" w:color="auto"/>
                <w:bottom w:val="none" w:sz="0" w:space="0" w:color="auto"/>
                <w:right w:val="none" w:sz="0" w:space="0" w:color="auto"/>
              </w:divBdr>
            </w:div>
          </w:divsChild>
        </w:div>
        <w:div w:id="1460143278">
          <w:marLeft w:val="0"/>
          <w:marRight w:val="0"/>
          <w:marTop w:val="0"/>
          <w:marBottom w:val="0"/>
          <w:divBdr>
            <w:top w:val="none" w:sz="0" w:space="0" w:color="auto"/>
            <w:left w:val="none" w:sz="0" w:space="0" w:color="auto"/>
            <w:bottom w:val="none" w:sz="0" w:space="0" w:color="auto"/>
            <w:right w:val="none" w:sz="0" w:space="0" w:color="auto"/>
          </w:divBdr>
        </w:div>
      </w:divsChild>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1CD7-F9BE-4601-9D84-A19CFFA0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2018-07-26T14:55:00Z</dcterms:created>
  <dcterms:modified xsi:type="dcterms:W3CDTF">2018-07-26T14:55:00Z</dcterms:modified>
</cp:coreProperties>
</file>