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06614B" w:rsidRDefault="004847E1" w:rsidP="004847E1">
      <w:pPr>
        <w:spacing w:before="100" w:beforeAutospacing="1" w:after="100" w:afterAutospacing="1" w:line="240" w:lineRule="auto"/>
        <w:jc w:val="center"/>
        <w:rPr>
          <w:rFonts w:ascii="Arial" w:eastAsia="Times New Roman" w:hAnsi="Arial" w:cs="Arial"/>
          <w:b/>
          <w:bCs/>
          <w:color w:val="000000" w:themeColor="text1"/>
          <w:sz w:val="27"/>
          <w:szCs w:val="27"/>
          <w:lang w:eastAsia="ru-RU"/>
        </w:rPr>
      </w:pPr>
      <w:bookmarkStart w:id="0" w:name="_GoBack"/>
      <w:r w:rsidRPr="0006614B">
        <w:rPr>
          <w:rFonts w:ascii="Arial" w:hAnsi="Arial" w:cs="Arial"/>
          <w:b/>
          <w:bCs/>
          <w:color w:val="000000" w:themeColor="text1"/>
          <w:sz w:val="33"/>
          <w:szCs w:val="33"/>
          <w:lang w:val="en-US"/>
        </w:rPr>
        <w:t> "Gyroskopiya i Navigatsiya" №</w:t>
      </w:r>
      <w:r w:rsidR="0006614B" w:rsidRPr="0006614B">
        <w:rPr>
          <w:rFonts w:ascii="Arial" w:hAnsi="Arial" w:cs="Arial"/>
          <w:b/>
          <w:bCs/>
          <w:color w:val="000000" w:themeColor="text1"/>
          <w:sz w:val="33"/>
          <w:szCs w:val="33"/>
        </w:rPr>
        <w:t>1</w:t>
      </w:r>
      <w:r w:rsidRPr="0006614B">
        <w:rPr>
          <w:rFonts w:ascii="Arial" w:hAnsi="Arial" w:cs="Arial"/>
          <w:b/>
          <w:bCs/>
          <w:color w:val="000000" w:themeColor="text1"/>
          <w:sz w:val="33"/>
          <w:szCs w:val="33"/>
          <w:lang w:val="en-US"/>
        </w:rPr>
        <w:t>, 20</w:t>
      </w:r>
      <w:r w:rsidR="0006614B" w:rsidRPr="0006614B">
        <w:rPr>
          <w:rFonts w:ascii="Arial" w:hAnsi="Arial" w:cs="Arial"/>
          <w:b/>
          <w:bCs/>
          <w:color w:val="000000" w:themeColor="text1"/>
          <w:sz w:val="33"/>
          <w:szCs w:val="33"/>
        </w:rPr>
        <w:t>09</w:t>
      </w:r>
    </w:p>
    <w:p w:rsidR="0006614B" w:rsidRPr="0006614B" w:rsidRDefault="0006614B" w:rsidP="0006614B">
      <w:pPr>
        <w:spacing w:before="100" w:beforeAutospacing="1" w:after="100" w:afterAutospacing="1" w:line="240" w:lineRule="auto"/>
        <w:jc w:val="center"/>
        <w:rPr>
          <w:rFonts w:ascii="Times New Roman" w:eastAsia="Times New Roman" w:hAnsi="Times New Roman" w:cs="Times New Roman"/>
          <w:b/>
          <w:bCs/>
          <w:color w:val="000000" w:themeColor="text1"/>
          <w:sz w:val="27"/>
          <w:szCs w:val="27"/>
          <w:lang w:eastAsia="ru-RU"/>
        </w:rPr>
      </w:pPr>
      <w:r w:rsidRPr="0006614B">
        <w:rPr>
          <w:rFonts w:ascii="Times New Roman" w:eastAsia="Times New Roman" w:hAnsi="Times New Roman" w:cs="Times New Roman"/>
          <w:b/>
          <w:bCs/>
          <w:color w:val="000000" w:themeColor="text1"/>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6614B" w:rsidRPr="0006614B" w:rsidTr="0006614B">
        <w:trPr>
          <w:tblCellSpacing w:w="15" w:type="dxa"/>
        </w:trPr>
        <w:tc>
          <w:tcPr>
            <w:tcW w:w="15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18"/>
                <w:szCs w:val="18"/>
                <w:lang w:eastAsia="ru-RU"/>
              </w:rPr>
              <w:t>V.F.Zhuravlev</w:t>
            </w:r>
          </w:p>
        </w:tc>
        <w:tc>
          <w:tcPr>
            <w:tcW w:w="30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b/>
                <w:bCs/>
                <w:color w:val="000000" w:themeColor="text1"/>
                <w:sz w:val="18"/>
                <w:szCs w:val="18"/>
                <w:lang w:val="en-US" w:eastAsia="ru-RU"/>
              </w:rPr>
              <w:t>Some details of unique experiment "Gravity Probe B"</w:t>
            </w:r>
          </w:p>
        </w:tc>
        <w:tc>
          <w:tcPr>
            <w:tcW w:w="0" w:type="auto"/>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18"/>
                <w:szCs w:val="18"/>
                <w:lang w:eastAsia="ru-RU"/>
              </w:rPr>
              <w:t>3</w:t>
            </w:r>
          </w:p>
        </w:tc>
      </w:tr>
      <w:tr w:rsidR="0006614B" w:rsidRPr="0006614B" w:rsidTr="0006614B">
        <w:trPr>
          <w:tblCellSpacing w:w="15" w:type="dxa"/>
        </w:trPr>
        <w:tc>
          <w:tcPr>
            <w:tcW w:w="0" w:type="auto"/>
            <w:gridSpan w:val="2"/>
            <w:vAlign w:val="center"/>
            <w:hideMark/>
          </w:tcPr>
          <w:p w:rsidR="0006614B" w:rsidRPr="0006614B" w:rsidRDefault="0006614B" w:rsidP="0006614B">
            <w:pPr>
              <w:spacing w:after="10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color w:val="000000" w:themeColor="text1"/>
                <w:sz w:val="18"/>
                <w:szCs w:val="18"/>
                <w:lang w:val="en-US" w:eastAsia="ru-RU"/>
              </w:rPr>
              <w:t>Some details of the experiment on examination of the general relativity theory aboard an artificial Earth satellite are considered. Description is given for the experiment idea (Schiff, Stanford, 1960), geodetic precession of cryogenic gyroscope, experiment criticism (Mathey, Paris, 1967), crisis of the cryogenic gyroscopy idea, Mathey theory disproof (Institite for Problems in Mechanics RAS, Moscow, 1975), Lense-Thirring precession, luni-solar influence, Thomas precession, gyroscope kinematic precession in the Earth field by Logunov, final sizing up of the almost semi-centennial experiment.</w:t>
            </w:r>
          </w:p>
        </w:tc>
        <w:tc>
          <w:tcPr>
            <w:tcW w:w="0" w:type="auto"/>
            <w:vAlign w:val="center"/>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p>
        </w:tc>
      </w:tr>
      <w:tr w:rsidR="0006614B" w:rsidRPr="0006614B" w:rsidTr="0006614B">
        <w:trPr>
          <w:tblCellSpacing w:w="15" w:type="dxa"/>
        </w:trPr>
        <w:tc>
          <w:tcPr>
            <w:tcW w:w="15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b/>
                <w:bCs/>
                <w:color w:val="000000" w:themeColor="text1"/>
                <w:sz w:val="18"/>
                <w:szCs w:val="18"/>
                <w:lang w:val="en-US" w:eastAsia="ru-RU"/>
              </w:rPr>
              <w:t>G.I.Emelyantsev, B.A.Blazhnov, A.N.Korotkov, L.P.Nesenyuk, A.P.Stepanov</w:t>
            </w:r>
          </w:p>
        </w:tc>
        <w:tc>
          <w:tcPr>
            <w:tcW w:w="30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b/>
                <w:bCs/>
                <w:color w:val="000000" w:themeColor="text1"/>
                <w:sz w:val="18"/>
                <w:szCs w:val="18"/>
                <w:lang w:val="en-US" w:eastAsia="ru-RU"/>
              </w:rPr>
              <w:t>Design of the integrated inertial satellite system for vehicles with the ballistic trajectory motion at the initial period</w:t>
            </w:r>
          </w:p>
        </w:tc>
        <w:tc>
          <w:tcPr>
            <w:tcW w:w="0" w:type="auto"/>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18"/>
                <w:szCs w:val="18"/>
                <w:lang w:eastAsia="ru-RU"/>
              </w:rPr>
              <w:t>8</w:t>
            </w:r>
          </w:p>
        </w:tc>
      </w:tr>
      <w:tr w:rsidR="0006614B" w:rsidRPr="0006614B" w:rsidTr="0006614B">
        <w:trPr>
          <w:tblCellSpacing w:w="15" w:type="dxa"/>
        </w:trPr>
        <w:tc>
          <w:tcPr>
            <w:tcW w:w="0" w:type="auto"/>
            <w:gridSpan w:val="2"/>
            <w:vAlign w:val="center"/>
            <w:hideMark/>
          </w:tcPr>
          <w:p w:rsidR="0006614B" w:rsidRPr="0006614B" w:rsidRDefault="0006614B" w:rsidP="0006614B">
            <w:pPr>
              <w:spacing w:after="10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color w:val="000000" w:themeColor="text1"/>
                <w:sz w:val="18"/>
                <w:szCs w:val="18"/>
                <w:lang w:val="en-US" w:eastAsia="ru-RU"/>
              </w:rPr>
              <w:t>The study deals with the structure, algorithms and errors of the integrated orientation and navigation system (IONS) for a highly manoeuvrable vehicle having fast rotation around the longitudinal axis and possible conic motion, the initial motion trajectory of which is ballistic. Observation and autonomous modes of the IONS operation, the peculiarities of intertask communication between navigation and orientation tasks under conditions of the vehicle motion along the ballistic trajectory are considered as well as possible method to provide for observability of orientation errors with the use of the SNS data. The simulation results of the IONS operation, of the bench tests and sea trials of the prototype of the strapdown inertial measuring unit on MMG developed by CSRI Elektropribor and of the SNS GLONASS/GPS receiving equipment unit developed by JSC RIRV, with the office studies of their data according to the IONS algorithms in the Matlab package are presented.</w:t>
            </w:r>
          </w:p>
        </w:tc>
        <w:tc>
          <w:tcPr>
            <w:tcW w:w="0" w:type="auto"/>
            <w:vAlign w:val="center"/>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p>
        </w:tc>
      </w:tr>
      <w:tr w:rsidR="0006614B" w:rsidRPr="0006614B" w:rsidTr="0006614B">
        <w:trPr>
          <w:tblCellSpacing w:w="15" w:type="dxa"/>
        </w:trPr>
        <w:tc>
          <w:tcPr>
            <w:tcW w:w="15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b/>
                <w:bCs/>
                <w:color w:val="000000" w:themeColor="text1"/>
                <w:sz w:val="18"/>
                <w:szCs w:val="18"/>
                <w:lang w:val="en-US" w:eastAsia="ru-RU"/>
              </w:rPr>
              <w:t>V.A.Vasiljev, O.A. Stepanov, A.V.Osipov</w:t>
            </w:r>
          </w:p>
        </w:tc>
        <w:tc>
          <w:tcPr>
            <w:tcW w:w="30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b/>
                <w:bCs/>
                <w:color w:val="000000" w:themeColor="text1"/>
                <w:sz w:val="18"/>
                <w:szCs w:val="18"/>
                <w:lang w:val="en-US" w:eastAsia="ru-RU"/>
              </w:rPr>
              <w:t>Bayesian and fuzzy nonlinear estimation algorithms</w:t>
            </w:r>
          </w:p>
        </w:tc>
        <w:tc>
          <w:tcPr>
            <w:tcW w:w="0" w:type="auto"/>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18"/>
                <w:szCs w:val="18"/>
                <w:lang w:eastAsia="ru-RU"/>
              </w:rPr>
              <w:t>22</w:t>
            </w:r>
          </w:p>
        </w:tc>
      </w:tr>
      <w:tr w:rsidR="0006614B" w:rsidRPr="0006614B" w:rsidTr="0006614B">
        <w:trPr>
          <w:tblCellSpacing w:w="15" w:type="dxa"/>
        </w:trPr>
        <w:tc>
          <w:tcPr>
            <w:tcW w:w="0" w:type="auto"/>
            <w:gridSpan w:val="2"/>
            <w:vAlign w:val="center"/>
            <w:hideMark/>
          </w:tcPr>
          <w:p w:rsidR="0006614B" w:rsidRPr="0006614B" w:rsidRDefault="0006614B" w:rsidP="0006614B">
            <w:pPr>
              <w:spacing w:after="10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color w:val="000000" w:themeColor="text1"/>
                <w:sz w:val="18"/>
                <w:szCs w:val="18"/>
                <w:lang w:val="en-US" w:eastAsia="ru-RU"/>
              </w:rPr>
              <w:t>An approach to designing nonlinear estimation algorithms based on fuzzy logic is offered. The approach suggested is compared with the well-known Bayesian approach, their special features are discussed. It is shown that with certain assumptions the algorithms obtained in the context of two approaches agree with each other.</w:t>
            </w:r>
          </w:p>
        </w:tc>
        <w:tc>
          <w:tcPr>
            <w:tcW w:w="0" w:type="auto"/>
            <w:vAlign w:val="center"/>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p>
        </w:tc>
      </w:tr>
      <w:tr w:rsidR="0006614B" w:rsidRPr="0006614B" w:rsidTr="0006614B">
        <w:trPr>
          <w:tblCellSpacing w:w="15" w:type="dxa"/>
        </w:trPr>
        <w:tc>
          <w:tcPr>
            <w:tcW w:w="15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18"/>
                <w:szCs w:val="18"/>
                <w:lang w:eastAsia="ru-RU"/>
              </w:rPr>
              <w:t>N.I.Krobka</w:t>
            </w:r>
          </w:p>
        </w:tc>
        <w:tc>
          <w:tcPr>
            <w:tcW w:w="30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b/>
                <w:bCs/>
                <w:color w:val="000000" w:themeColor="text1"/>
                <w:sz w:val="18"/>
                <w:szCs w:val="18"/>
                <w:lang w:val="en-US" w:eastAsia="ru-RU"/>
              </w:rPr>
              <w:t>New noncommutative kinematic effect and its visualization in the FOG-based strapdown inertial orientation systems</w:t>
            </w:r>
          </w:p>
        </w:tc>
        <w:tc>
          <w:tcPr>
            <w:tcW w:w="0" w:type="auto"/>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18"/>
                <w:szCs w:val="18"/>
                <w:lang w:eastAsia="ru-RU"/>
              </w:rPr>
              <w:t>36</w:t>
            </w:r>
          </w:p>
        </w:tc>
      </w:tr>
      <w:tr w:rsidR="0006614B" w:rsidRPr="0006614B" w:rsidTr="0006614B">
        <w:trPr>
          <w:tblCellSpacing w:w="15" w:type="dxa"/>
        </w:trPr>
        <w:tc>
          <w:tcPr>
            <w:tcW w:w="0" w:type="auto"/>
            <w:gridSpan w:val="2"/>
            <w:vAlign w:val="center"/>
            <w:hideMark/>
          </w:tcPr>
          <w:p w:rsidR="0006614B" w:rsidRPr="0006614B" w:rsidRDefault="0006614B" w:rsidP="0006614B">
            <w:pPr>
              <w:spacing w:after="10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color w:val="000000" w:themeColor="text1"/>
                <w:sz w:val="18"/>
                <w:szCs w:val="18"/>
                <w:lang w:val="en-US" w:eastAsia="ru-RU"/>
              </w:rPr>
              <w:t>A brief review of state of the art in fiber-optic gyros (FOG) developments for space applications is given. The results of investigations of the accuracy of strapdown inertial orientation systems (SIOS) based on three-axis FOG (TFOG) are presented. The methodical conception of analytical estimations of SIOS accuracy is resulted. TFOG configuration with single light source is discussed. The peculiarity of such type TFOG is the following: in case of TFOG based on three autonomous one-axis FOG, a correlation matrix of noise has three non-zero diagonal elements only, but in case of TFOG with single light source, the correlation matrix of noise has all nine non-zero elements. The difference of noise correlations in three information channels of TFOG can lead to the essential difference (by orders) of SIOS accuracy. The analysis of this new non-noted in gyroscopy and navigation non-commutative kinematic effect is presented.</w:t>
            </w:r>
          </w:p>
        </w:tc>
        <w:tc>
          <w:tcPr>
            <w:tcW w:w="0" w:type="auto"/>
            <w:vAlign w:val="center"/>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p>
        </w:tc>
      </w:tr>
      <w:tr w:rsidR="0006614B" w:rsidRPr="0006614B" w:rsidTr="0006614B">
        <w:trPr>
          <w:tblCellSpacing w:w="15" w:type="dxa"/>
        </w:trPr>
        <w:tc>
          <w:tcPr>
            <w:tcW w:w="15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b/>
                <w:bCs/>
                <w:color w:val="000000" w:themeColor="text1"/>
                <w:sz w:val="18"/>
                <w:szCs w:val="18"/>
                <w:lang w:val="en-US" w:eastAsia="ru-RU"/>
              </w:rPr>
              <w:t>Ya.I. Binder, T.V. Paderina, V.G. Rozentsvein</w:t>
            </w:r>
          </w:p>
        </w:tc>
        <w:tc>
          <w:tcPr>
            <w:tcW w:w="30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18"/>
                <w:szCs w:val="18"/>
                <w:lang w:val="en-US" w:eastAsia="ru-RU"/>
              </w:rPr>
              <w:t xml:space="preserve">High-efficiency precision directional survey of slim well bores. </w:t>
            </w:r>
            <w:r w:rsidRPr="0006614B">
              <w:rPr>
                <w:rFonts w:ascii="Arial" w:eastAsia="Times New Roman" w:hAnsi="Arial" w:cs="Arial"/>
                <w:b/>
                <w:bCs/>
                <w:color w:val="000000" w:themeColor="text1"/>
                <w:sz w:val="18"/>
                <w:szCs w:val="18"/>
                <w:lang w:eastAsia="ru-RU"/>
              </w:rPr>
              <w:t>The results of practical implementation</w:t>
            </w:r>
          </w:p>
        </w:tc>
        <w:tc>
          <w:tcPr>
            <w:tcW w:w="0" w:type="auto"/>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18"/>
                <w:szCs w:val="18"/>
                <w:lang w:eastAsia="ru-RU"/>
              </w:rPr>
              <w:t>52</w:t>
            </w:r>
          </w:p>
        </w:tc>
      </w:tr>
      <w:tr w:rsidR="0006614B" w:rsidRPr="0006614B" w:rsidTr="0006614B">
        <w:trPr>
          <w:tblCellSpacing w:w="15" w:type="dxa"/>
        </w:trPr>
        <w:tc>
          <w:tcPr>
            <w:tcW w:w="0" w:type="auto"/>
            <w:gridSpan w:val="2"/>
            <w:vAlign w:val="center"/>
            <w:hideMark/>
          </w:tcPr>
          <w:p w:rsidR="0006614B" w:rsidRPr="0006614B" w:rsidRDefault="0006614B" w:rsidP="0006614B">
            <w:pPr>
              <w:spacing w:after="10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color w:val="000000" w:themeColor="text1"/>
                <w:sz w:val="18"/>
                <w:szCs w:val="18"/>
                <w:lang w:val="en-US" w:eastAsia="ru-RU"/>
              </w:rPr>
              <w:t>The paper considers the results of the development and implementation of a novel small-sized cable gyro inclinometer (GI) “ƒˆ-42.03 (UGI-42.03) intended for precision continuous survey of wellbores. The structure, configuration and operation algorithms of the GI, the state-of-the-art instrument for monitoring wellbore position, are considered.</w:t>
            </w:r>
          </w:p>
        </w:tc>
        <w:tc>
          <w:tcPr>
            <w:tcW w:w="0" w:type="auto"/>
            <w:vAlign w:val="center"/>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p>
        </w:tc>
      </w:tr>
      <w:tr w:rsidR="0006614B" w:rsidRPr="0006614B" w:rsidTr="0006614B">
        <w:trPr>
          <w:tblCellSpacing w:w="15" w:type="dxa"/>
        </w:trPr>
        <w:tc>
          <w:tcPr>
            <w:tcW w:w="15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b/>
                <w:bCs/>
                <w:color w:val="000000" w:themeColor="text1"/>
                <w:sz w:val="18"/>
                <w:szCs w:val="18"/>
                <w:lang w:val="en-US" w:eastAsia="ru-RU"/>
              </w:rPr>
              <w:t>A.M.Boronakhin, L.N.Oleinik, N.S.Filipenya</w:t>
            </w:r>
          </w:p>
        </w:tc>
        <w:tc>
          <w:tcPr>
            <w:tcW w:w="30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b/>
                <w:bCs/>
                <w:color w:val="000000" w:themeColor="text1"/>
                <w:sz w:val="18"/>
                <w:szCs w:val="18"/>
                <w:lang w:val="en-US" w:eastAsia="ru-RU"/>
              </w:rPr>
              <w:t>The small-size integrated system for railway track diagnostics</w:t>
            </w:r>
          </w:p>
        </w:tc>
        <w:tc>
          <w:tcPr>
            <w:tcW w:w="0" w:type="auto"/>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18"/>
                <w:szCs w:val="18"/>
                <w:lang w:eastAsia="ru-RU"/>
              </w:rPr>
              <w:t>63</w:t>
            </w:r>
          </w:p>
        </w:tc>
      </w:tr>
      <w:tr w:rsidR="0006614B" w:rsidRPr="0006614B" w:rsidTr="0006614B">
        <w:trPr>
          <w:tblCellSpacing w:w="15" w:type="dxa"/>
        </w:trPr>
        <w:tc>
          <w:tcPr>
            <w:tcW w:w="0" w:type="auto"/>
            <w:gridSpan w:val="2"/>
            <w:vAlign w:val="center"/>
            <w:hideMark/>
          </w:tcPr>
          <w:p w:rsidR="0006614B" w:rsidRPr="0006614B" w:rsidRDefault="0006614B" w:rsidP="0006614B">
            <w:pPr>
              <w:spacing w:after="10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color w:val="000000" w:themeColor="text1"/>
                <w:sz w:val="18"/>
                <w:szCs w:val="18"/>
                <w:lang w:val="en-US" w:eastAsia="ru-RU"/>
              </w:rPr>
              <w:t>The candidate solution of the problem of railway diagnostics using the integrated system is considered. The compact integrated system consists of: four inertial measurement unit based on MEMS (Micro Electro Mechanical System) gyros and accelerometers, four mechanical motion transducers, INS (Inertial Navigation System) based on fiber optic gyros, GNSS (Global Navigation Satellite System) receiver. The disposition of every subsystem is shown in the figure 2. The operation algorithm of railway diagnostics compact integrated system is illustrated in the figure 4. The railway characteristics estimated by means of the integrated system after the experimental passage on the flaw detector car are presented in the figures 8-10. The preference of integration of MEMS with INS and GNSS for railway diagnostics is corroborated.</w:t>
            </w:r>
          </w:p>
        </w:tc>
        <w:tc>
          <w:tcPr>
            <w:tcW w:w="0" w:type="auto"/>
            <w:vAlign w:val="center"/>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p>
        </w:tc>
      </w:tr>
      <w:tr w:rsidR="0006614B" w:rsidRPr="0006614B" w:rsidTr="0006614B">
        <w:trPr>
          <w:tblCellSpacing w:w="15" w:type="dxa"/>
        </w:trPr>
        <w:tc>
          <w:tcPr>
            <w:tcW w:w="15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b/>
                <w:bCs/>
                <w:color w:val="000000" w:themeColor="text1"/>
                <w:sz w:val="18"/>
                <w:szCs w:val="18"/>
                <w:lang w:val="en-US" w:eastAsia="ru-RU"/>
              </w:rPr>
              <w:t>Philippe Lavoie, Di Li, Rene Jr. Landry</w:t>
            </w:r>
          </w:p>
        </w:tc>
        <w:tc>
          <w:tcPr>
            <w:tcW w:w="30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b/>
                <w:bCs/>
                <w:color w:val="000000" w:themeColor="text1"/>
                <w:sz w:val="18"/>
                <w:szCs w:val="18"/>
                <w:lang w:val="en-US" w:eastAsia="ru-RU"/>
              </w:rPr>
              <w:t>Inertial navigation system developed for MEMS applications</w:t>
            </w:r>
          </w:p>
        </w:tc>
        <w:tc>
          <w:tcPr>
            <w:tcW w:w="0" w:type="auto"/>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18"/>
                <w:szCs w:val="18"/>
                <w:lang w:eastAsia="ru-RU"/>
              </w:rPr>
              <w:t>75</w:t>
            </w:r>
          </w:p>
        </w:tc>
      </w:tr>
      <w:tr w:rsidR="0006614B" w:rsidRPr="0006614B" w:rsidTr="0006614B">
        <w:trPr>
          <w:tblCellSpacing w:w="15" w:type="dxa"/>
        </w:trPr>
        <w:tc>
          <w:tcPr>
            <w:tcW w:w="0" w:type="auto"/>
            <w:gridSpan w:val="2"/>
            <w:vAlign w:val="center"/>
            <w:hideMark/>
          </w:tcPr>
          <w:p w:rsidR="0006614B" w:rsidRPr="0006614B" w:rsidRDefault="0006614B" w:rsidP="0006614B">
            <w:pPr>
              <w:spacing w:after="10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color w:val="000000" w:themeColor="text1"/>
                <w:sz w:val="18"/>
                <w:szCs w:val="18"/>
                <w:lang w:val="en-US" w:eastAsia="ru-RU"/>
              </w:rPr>
              <w:t xml:space="preserve">The purpose of this study is to validate a developed INS/GPS integration algorithm for embeddable positioning and navigation purpose using MEMS IMU (Inertial Measurement Unit) sensors. MEMS IMU sensors present unique noise characteristics and generally contain high-level noise inherent in the output data. In this paper, we investigate an advanced error modeling technique to evaluate these errors. With the proposed error models, the impacts of the </w:t>
            </w:r>
            <w:r w:rsidRPr="0006614B">
              <w:rPr>
                <w:rFonts w:ascii="Arial" w:eastAsia="Times New Roman" w:hAnsi="Arial" w:cs="Arial"/>
                <w:color w:val="000000" w:themeColor="text1"/>
                <w:sz w:val="18"/>
                <w:szCs w:val="18"/>
                <w:lang w:val="en-US" w:eastAsia="ru-RU"/>
              </w:rPr>
              <w:lastRenderedPageBreak/>
              <w:t>MEMS noises can be characterized in terms of random noise, bias, quantization error, scale factor correction and miss-alignment errors. By employing this model in the INS calculation, the compensation of the deterministic noise terms from the raw MEMS measurements can be greatly improved. A loosely coupled Kalman filtering design for INS/GPS integration is also presented in this paper. Hence, the random noise compensation of MEMS sensors can be achieved for the proposed Kalman filter design.</w:t>
            </w:r>
          </w:p>
        </w:tc>
        <w:tc>
          <w:tcPr>
            <w:tcW w:w="0" w:type="auto"/>
            <w:vAlign w:val="center"/>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p>
        </w:tc>
      </w:tr>
      <w:tr w:rsidR="0006614B" w:rsidRPr="0006614B" w:rsidTr="0006614B">
        <w:trPr>
          <w:tblCellSpacing w:w="15" w:type="dxa"/>
        </w:trPr>
        <w:tc>
          <w:tcPr>
            <w:tcW w:w="15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b/>
                <w:bCs/>
                <w:color w:val="000000" w:themeColor="text1"/>
                <w:sz w:val="18"/>
                <w:szCs w:val="18"/>
                <w:lang w:val="en-US" w:eastAsia="ru-RU"/>
              </w:rPr>
              <w:lastRenderedPageBreak/>
              <w:t>A.V.Polushkin, L.Ya.Kalihman, D.M.Kalihman, S.F.Nahov R.V.Ermakov, D.A.Belyakov, S.N.Shatskov, V.A.Lomov, A.D.Shapran</w:t>
            </w:r>
          </w:p>
        </w:tc>
        <w:tc>
          <w:tcPr>
            <w:tcW w:w="30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b/>
                <w:bCs/>
                <w:color w:val="000000" w:themeColor="text1"/>
                <w:sz w:val="18"/>
                <w:szCs w:val="18"/>
                <w:lang w:val="en-US" w:eastAsia="ru-RU"/>
              </w:rPr>
              <w:t>The results of general-purpose hardware development for monitoring a wide range of inertial devices</w:t>
            </w:r>
          </w:p>
        </w:tc>
        <w:tc>
          <w:tcPr>
            <w:tcW w:w="0" w:type="auto"/>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18"/>
                <w:szCs w:val="18"/>
                <w:lang w:eastAsia="ru-RU"/>
              </w:rPr>
              <w:t>86</w:t>
            </w:r>
          </w:p>
        </w:tc>
      </w:tr>
      <w:tr w:rsidR="0006614B" w:rsidRPr="0006614B" w:rsidTr="0006614B">
        <w:trPr>
          <w:tblCellSpacing w:w="15" w:type="dxa"/>
        </w:trPr>
        <w:tc>
          <w:tcPr>
            <w:tcW w:w="0" w:type="auto"/>
            <w:gridSpan w:val="2"/>
            <w:vAlign w:val="center"/>
            <w:hideMark/>
          </w:tcPr>
          <w:p w:rsidR="0006614B" w:rsidRPr="0006614B" w:rsidRDefault="0006614B" w:rsidP="0006614B">
            <w:pPr>
              <w:spacing w:after="10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color w:val="000000" w:themeColor="text1"/>
                <w:sz w:val="18"/>
                <w:szCs w:val="18"/>
                <w:lang w:val="en-US" w:eastAsia="ru-RU"/>
              </w:rPr>
              <w:t>In conditions of total computer application for control and monitoring processes in different spheres of human activity it is reasonable to use a new approach to designing inertial device monitoring facilities at instrument-making enterprises. </w:t>
            </w:r>
            <w:r w:rsidRPr="0006614B">
              <w:rPr>
                <w:rFonts w:ascii="Arial" w:eastAsia="Times New Roman" w:hAnsi="Arial" w:cs="Arial"/>
                <w:color w:val="000000" w:themeColor="text1"/>
                <w:sz w:val="18"/>
                <w:szCs w:val="18"/>
                <w:lang w:val="en-US" w:eastAsia="ru-RU"/>
              </w:rPr>
              <w:br/>
              <w:t>This approach has found its application in a number of problems being solved by foreign companies, such as National Instruments. These companies deal with development of measurement and automation systems, for example, a modular system of signal conditioning SCXI, a system distributed input/output for industrial control FieldPoint, configurable instrumentation system CompactRIO. The similar systems are developed by Agilent Technologies company. </w:t>
            </w:r>
            <w:r w:rsidRPr="0006614B">
              <w:rPr>
                <w:rFonts w:ascii="Arial" w:eastAsia="Times New Roman" w:hAnsi="Arial" w:cs="Arial"/>
                <w:color w:val="000000" w:themeColor="text1"/>
                <w:sz w:val="18"/>
                <w:szCs w:val="18"/>
                <w:lang w:val="en-US" w:eastAsia="ru-RU"/>
              </w:rPr>
              <w:br/>
              <w:t>In the article the author offers the circuit solutions for multipurpose test equipment based on the building-block concept using the state-of-the-art element base, microprocessors and measuring devices of high accuracy class for testing any type of inertial spin-rate meters, angle and specific force meters, as well as units designed on their base.</w:t>
            </w:r>
          </w:p>
        </w:tc>
        <w:tc>
          <w:tcPr>
            <w:tcW w:w="0" w:type="auto"/>
            <w:vAlign w:val="center"/>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p>
        </w:tc>
      </w:tr>
    </w:tbl>
    <w:p w:rsidR="0006614B" w:rsidRPr="0006614B" w:rsidRDefault="0006614B" w:rsidP="0006614B">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20"/>
          <w:szCs w:val="20"/>
          <w:lang w:eastAsia="ru-RU"/>
        </w:rPr>
        <w:t>Brief note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6614B" w:rsidRPr="0006614B" w:rsidTr="0006614B">
        <w:trPr>
          <w:tblCellSpacing w:w="15" w:type="dxa"/>
        </w:trPr>
        <w:tc>
          <w:tcPr>
            <w:tcW w:w="15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b/>
                <w:bCs/>
                <w:color w:val="000000" w:themeColor="text1"/>
                <w:sz w:val="18"/>
                <w:szCs w:val="18"/>
                <w:lang w:val="en-US" w:eastAsia="ru-RU"/>
              </w:rPr>
              <w:t>V. V. Narver, V. N. Narver, V. V. Patrushev</w:t>
            </w:r>
          </w:p>
        </w:tc>
        <w:tc>
          <w:tcPr>
            <w:tcW w:w="30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b/>
                <w:bCs/>
                <w:color w:val="000000" w:themeColor="text1"/>
                <w:sz w:val="18"/>
                <w:szCs w:val="18"/>
                <w:lang w:val="en-US" w:eastAsia="ru-RU"/>
              </w:rPr>
              <w:t>The crosshair for true azimuth observation</w:t>
            </w:r>
          </w:p>
        </w:tc>
        <w:tc>
          <w:tcPr>
            <w:tcW w:w="0" w:type="auto"/>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18"/>
                <w:szCs w:val="18"/>
                <w:lang w:eastAsia="ru-RU"/>
              </w:rPr>
              <w:t>101</w:t>
            </w:r>
          </w:p>
        </w:tc>
      </w:tr>
      <w:tr w:rsidR="0006614B" w:rsidRPr="0006614B" w:rsidTr="0006614B">
        <w:trPr>
          <w:tblCellSpacing w:w="15" w:type="dxa"/>
        </w:trPr>
        <w:tc>
          <w:tcPr>
            <w:tcW w:w="0" w:type="auto"/>
            <w:gridSpan w:val="2"/>
            <w:vAlign w:val="center"/>
            <w:hideMark/>
          </w:tcPr>
          <w:p w:rsidR="0006614B" w:rsidRPr="0006614B" w:rsidRDefault="0006614B" w:rsidP="0006614B">
            <w:pPr>
              <w:spacing w:after="10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color w:val="000000" w:themeColor="text1"/>
                <w:sz w:val="18"/>
                <w:szCs w:val="18"/>
                <w:lang w:val="en-US" w:eastAsia="ru-RU"/>
              </w:rPr>
              <w:t xml:space="preserve">The article deals with a method of an astronomical sighting device development for azimuth determination and its transmission to users. The astronomical sighting device comprises optic unit with a television receiver, unit of levels and data processing unit with a timer. A distinctive feature of the optic unit is the use of a special reflector placed in front of the telescope lens. The special reflector represents two rigidly connected reflectors, one of which is a prism </w:t>
            </w:r>
            <w:r w:rsidRPr="0006614B">
              <w:rPr>
                <w:rFonts w:ascii="Arial" w:eastAsia="Times New Roman" w:hAnsi="Arial" w:cs="Arial"/>
                <w:color w:val="000000" w:themeColor="text1"/>
                <w:sz w:val="18"/>
                <w:szCs w:val="18"/>
                <w:lang w:eastAsia="ru-RU"/>
              </w:rPr>
              <w:t></w:t>
            </w:r>
            <w:r w:rsidRPr="0006614B">
              <w:rPr>
                <w:rFonts w:ascii="Arial" w:eastAsia="Times New Roman" w:hAnsi="Arial" w:cs="Arial"/>
                <w:color w:val="000000" w:themeColor="text1"/>
                <w:sz w:val="18"/>
                <w:szCs w:val="18"/>
                <w:lang w:val="en-US" w:eastAsia="ru-RU"/>
              </w:rPr>
              <w:t xml:space="preserve">- 180?, and the second is a flat mirror. The sighting device axis is the perpendicular to the flat mirror coinciding with the prism </w:t>
            </w:r>
            <w:r w:rsidRPr="0006614B">
              <w:rPr>
                <w:rFonts w:ascii="Arial" w:eastAsia="Times New Roman" w:hAnsi="Arial" w:cs="Arial"/>
                <w:color w:val="000000" w:themeColor="text1"/>
                <w:sz w:val="18"/>
                <w:szCs w:val="18"/>
                <w:lang w:eastAsia="ru-RU"/>
              </w:rPr>
              <w:t></w:t>
            </w:r>
            <w:r w:rsidRPr="0006614B">
              <w:rPr>
                <w:rFonts w:ascii="Arial" w:eastAsia="Times New Roman" w:hAnsi="Arial" w:cs="Arial"/>
                <w:color w:val="000000" w:themeColor="text1"/>
                <w:sz w:val="18"/>
                <w:szCs w:val="18"/>
                <w:lang w:val="en-US" w:eastAsia="ru-RU"/>
              </w:rPr>
              <w:t>- 180? angle bisectrix. In this case the flux from a star in a horizontal plane is divided by the special reflector into two fluxes, which further enter the telescope lens. The first flux in a horizontal plane is parallel to the incident flux but has the opposite direction. The second flux is normally reflected from the flat mirror. In case the star is situated not on the sighting device axis two images of the same star are formed in the telescope viewing field. Repeatedly determining a temporary position of the star first and second images, one can determine the sighting device axis azimuth using the known formulas. Various variants of the special reflector construction and the transmission methods for the azimuth direction from the collimation axis to the users are described. The application of the special reflector proposed and the techniques of the azimuth transmission to the users makes it possible to exclude the telescope collimation error and to increase the accuracy of the azimuth transmission.</w:t>
            </w:r>
          </w:p>
        </w:tc>
        <w:tc>
          <w:tcPr>
            <w:tcW w:w="0" w:type="auto"/>
            <w:vAlign w:val="center"/>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p>
        </w:tc>
      </w:tr>
    </w:tbl>
    <w:p w:rsidR="0006614B" w:rsidRPr="0006614B" w:rsidRDefault="0006614B" w:rsidP="0006614B">
      <w:pPr>
        <w:spacing w:before="100" w:beforeAutospacing="1" w:after="100" w:afterAutospacing="1" w:line="240" w:lineRule="auto"/>
        <w:jc w:val="center"/>
        <w:rPr>
          <w:rFonts w:ascii="Arial" w:eastAsia="Times New Roman" w:hAnsi="Arial" w:cs="Arial"/>
          <w:color w:val="000000" w:themeColor="text1"/>
          <w:sz w:val="18"/>
          <w:szCs w:val="18"/>
          <w:lang w:val="en-US" w:eastAsia="ru-RU"/>
        </w:rPr>
      </w:pPr>
      <w:r w:rsidRPr="0006614B">
        <w:rPr>
          <w:rFonts w:ascii="Arial" w:eastAsia="Times New Roman" w:hAnsi="Arial" w:cs="Arial"/>
          <w:b/>
          <w:bCs/>
          <w:color w:val="000000" w:themeColor="text1"/>
          <w:sz w:val="20"/>
          <w:szCs w:val="20"/>
          <w:lang w:val="en-US" w:eastAsia="ru-RU"/>
        </w:rPr>
        <w:t>International Public Association</w:t>
      </w:r>
      <w:r w:rsidRPr="0006614B">
        <w:rPr>
          <w:rFonts w:ascii="Arial" w:eastAsia="Times New Roman" w:hAnsi="Arial" w:cs="Arial"/>
          <w:b/>
          <w:bCs/>
          <w:color w:val="000000" w:themeColor="text1"/>
          <w:sz w:val="20"/>
          <w:szCs w:val="20"/>
          <w:lang w:val="en-US" w:eastAsia="ru-RU"/>
        </w:rPr>
        <w:br/>
        <w:t>The Academy of Navigation and Motion Control</w:t>
      </w:r>
      <w:r w:rsidRPr="0006614B">
        <w:rPr>
          <w:rFonts w:ascii="Arial" w:eastAsia="Times New Roman" w:hAnsi="Arial" w:cs="Arial"/>
          <w:b/>
          <w:bCs/>
          <w:color w:val="000000" w:themeColor="text1"/>
          <w:sz w:val="20"/>
          <w:szCs w:val="20"/>
          <w:lang w:val="en-US" w:eastAsia="ru-RU"/>
        </w:rPr>
        <w:b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06614B" w:rsidRPr="0006614B" w:rsidTr="0006614B">
        <w:trPr>
          <w:tblCellSpacing w:w="15" w:type="dxa"/>
        </w:trPr>
        <w:tc>
          <w:tcPr>
            <w:tcW w:w="45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color w:val="000000" w:themeColor="text1"/>
                <w:sz w:val="18"/>
                <w:szCs w:val="18"/>
                <w:lang w:val="en-US" w:eastAsia="ru-RU"/>
              </w:rPr>
              <w:t>To the 80-th anniversary from I.N.Sapozhnikov birthday</w:t>
            </w:r>
          </w:p>
        </w:tc>
        <w:tc>
          <w:tcPr>
            <w:tcW w:w="0" w:type="auto"/>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18"/>
                <w:szCs w:val="18"/>
                <w:lang w:eastAsia="ru-RU"/>
              </w:rPr>
              <w:t>109</w:t>
            </w:r>
          </w:p>
        </w:tc>
      </w:tr>
    </w:tbl>
    <w:p w:rsidR="0006614B" w:rsidRPr="0006614B" w:rsidRDefault="0006614B" w:rsidP="0006614B">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20"/>
          <w:szCs w:val="20"/>
          <w:lang w:eastAsia="ru-RU"/>
        </w:rPr>
        <w:t>New books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06614B" w:rsidRPr="0006614B" w:rsidTr="0006614B">
        <w:trPr>
          <w:tblCellSpacing w:w="15" w:type="dxa"/>
        </w:trPr>
        <w:tc>
          <w:tcPr>
            <w:tcW w:w="45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color w:val="000000" w:themeColor="text1"/>
                <w:sz w:val="18"/>
                <w:szCs w:val="18"/>
                <w:lang w:val="en-US" w:eastAsia="ru-RU"/>
              </w:rPr>
              <w:t>On the book "Back to fundamentals of the estimation theory as applied to the problems of navigational data processing. Part 1. Introduction to the estimation theory" by O.A.Stepanov</w:t>
            </w:r>
          </w:p>
        </w:tc>
        <w:tc>
          <w:tcPr>
            <w:tcW w:w="0" w:type="auto"/>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18"/>
                <w:szCs w:val="18"/>
                <w:lang w:eastAsia="ru-RU"/>
              </w:rPr>
              <w:t>111</w:t>
            </w:r>
          </w:p>
        </w:tc>
      </w:tr>
    </w:tbl>
    <w:p w:rsidR="0006614B" w:rsidRPr="0006614B" w:rsidRDefault="0006614B" w:rsidP="0006614B">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20"/>
          <w:szCs w:val="20"/>
          <w:lang w:eastAsia="ru-RU"/>
        </w:rPr>
        <w:t>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06614B" w:rsidRPr="0006614B" w:rsidTr="0006614B">
        <w:trPr>
          <w:tblCellSpacing w:w="15" w:type="dxa"/>
        </w:trPr>
        <w:tc>
          <w:tcPr>
            <w:tcW w:w="15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18"/>
                <w:szCs w:val="18"/>
                <w:lang w:eastAsia="ru-RU"/>
              </w:rPr>
              <w:t>V.E.Dzhashitov, V.M.Pankratov, A.V.Golikov</w:t>
            </w:r>
          </w:p>
        </w:tc>
        <w:tc>
          <w:tcPr>
            <w:tcW w:w="30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b/>
                <w:bCs/>
                <w:color w:val="000000" w:themeColor="text1"/>
                <w:sz w:val="18"/>
                <w:szCs w:val="18"/>
                <w:lang w:val="en-US" w:eastAsia="ru-RU"/>
              </w:rPr>
              <w:t>Research and educational computer course in the engineering mechanics, general and applied theory of gyros</w:t>
            </w:r>
          </w:p>
        </w:tc>
        <w:tc>
          <w:tcPr>
            <w:tcW w:w="0" w:type="auto"/>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18"/>
                <w:szCs w:val="18"/>
                <w:lang w:eastAsia="ru-RU"/>
              </w:rPr>
              <w:t>113</w:t>
            </w:r>
          </w:p>
        </w:tc>
      </w:tr>
      <w:tr w:rsidR="0006614B" w:rsidRPr="0006614B" w:rsidTr="0006614B">
        <w:trPr>
          <w:tblCellSpacing w:w="15" w:type="dxa"/>
        </w:trPr>
        <w:tc>
          <w:tcPr>
            <w:tcW w:w="0" w:type="auto"/>
            <w:gridSpan w:val="2"/>
            <w:vAlign w:val="center"/>
            <w:hideMark/>
          </w:tcPr>
          <w:p w:rsidR="0006614B" w:rsidRPr="0006614B" w:rsidRDefault="0006614B" w:rsidP="0006614B">
            <w:pPr>
              <w:spacing w:after="100" w:line="240" w:lineRule="auto"/>
              <w:rPr>
                <w:rFonts w:ascii="Arial" w:eastAsia="Times New Roman" w:hAnsi="Arial" w:cs="Arial"/>
                <w:color w:val="000000" w:themeColor="text1"/>
                <w:sz w:val="18"/>
                <w:szCs w:val="18"/>
                <w:lang w:eastAsia="ru-RU"/>
              </w:rPr>
            </w:pPr>
            <w:r w:rsidRPr="0006614B">
              <w:rPr>
                <w:rFonts w:ascii="Arial" w:eastAsia="Times New Roman" w:hAnsi="Arial" w:cs="Arial"/>
                <w:color w:val="000000" w:themeColor="text1"/>
                <w:sz w:val="18"/>
                <w:szCs w:val="18"/>
                <w:lang w:val="en-US" w:eastAsia="ru-RU"/>
              </w:rPr>
              <w:t xml:space="preserve">The methodical aspects and the practical experience of creating and using computer technologies in lecturing on the theoretical mechanics and the theory of gyroscopes are considered. Possible contents and the important features of the computer lectures are presented. The lectures are given as the set of PowerPoint presentations and dynamic visualization embedded software. The course allows for the computer simulation and dynamic three-dimensional visualization of the motion equations and operating principles for all basic types of gyroscopes, kinematics and dynamics of various mechanisms and phenomena of mechanical motion. </w:t>
            </w:r>
            <w:r w:rsidRPr="0006614B">
              <w:rPr>
                <w:rFonts w:ascii="Arial" w:eastAsia="Times New Roman" w:hAnsi="Arial" w:cs="Arial"/>
                <w:color w:val="000000" w:themeColor="text1"/>
                <w:sz w:val="18"/>
                <w:szCs w:val="18"/>
                <w:lang w:eastAsia="ru-RU"/>
              </w:rPr>
              <w:t xml:space="preserve">The original software was developed for </w:t>
            </w:r>
            <w:r w:rsidRPr="0006614B">
              <w:rPr>
                <w:rFonts w:ascii="Arial" w:eastAsia="Times New Roman" w:hAnsi="Arial" w:cs="Arial"/>
                <w:color w:val="000000" w:themeColor="text1"/>
                <w:sz w:val="18"/>
                <w:szCs w:val="18"/>
                <w:lang w:eastAsia="ru-RU"/>
              </w:rPr>
              <w:lastRenderedPageBreak/>
              <w:t>the dynamic visualization.</w:t>
            </w:r>
          </w:p>
        </w:tc>
        <w:tc>
          <w:tcPr>
            <w:tcW w:w="0" w:type="auto"/>
            <w:vAlign w:val="center"/>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p>
        </w:tc>
      </w:tr>
    </w:tbl>
    <w:p w:rsidR="0006614B" w:rsidRPr="0006614B" w:rsidRDefault="0006614B" w:rsidP="0006614B">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06614B" w:rsidRPr="0006614B" w:rsidTr="0006614B">
        <w:trPr>
          <w:tblCellSpacing w:w="15" w:type="dxa"/>
        </w:trPr>
        <w:tc>
          <w:tcPr>
            <w:tcW w:w="45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b/>
                <w:bCs/>
                <w:color w:val="000000" w:themeColor="text1"/>
                <w:sz w:val="18"/>
                <w:szCs w:val="18"/>
                <w:lang w:val="en-US" w:eastAsia="ru-RU"/>
              </w:rPr>
              <w:t>Russian and international conferences, symposia and exhibitions</w:t>
            </w:r>
            <w:r w:rsidRPr="0006614B">
              <w:rPr>
                <w:rFonts w:ascii="Arial" w:eastAsia="Times New Roman" w:hAnsi="Arial" w:cs="Arial"/>
                <w:color w:val="000000" w:themeColor="text1"/>
                <w:sz w:val="18"/>
                <w:szCs w:val="18"/>
                <w:lang w:val="en-US" w:eastAsia="ru-RU"/>
              </w:rPr>
              <w:br/>
            </w:r>
            <w:hyperlink r:id="rId7" w:history="1">
              <w:r w:rsidRPr="0006614B">
                <w:rPr>
                  <w:rFonts w:ascii="Arial" w:eastAsia="Times New Roman" w:hAnsi="Arial" w:cs="Arial"/>
                  <w:color w:val="000000" w:themeColor="text1"/>
                  <w:sz w:val="18"/>
                  <w:szCs w:val="18"/>
                  <w:lang w:val="en-US" w:eastAsia="ru-RU"/>
                </w:rPr>
                <w:t>Full text</w:t>
              </w:r>
            </w:hyperlink>
          </w:p>
        </w:tc>
        <w:tc>
          <w:tcPr>
            <w:tcW w:w="0" w:type="auto"/>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18"/>
                <w:szCs w:val="18"/>
                <w:lang w:eastAsia="ru-RU"/>
              </w:rPr>
              <w:t>122</w:t>
            </w:r>
          </w:p>
        </w:tc>
      </w:tr>
    </w:tbl>
    <w:p w:rsidR="0006614B" w:rsidRPr="0006614B" w:rsidRDefault="0006614B" w:rsidP="0006614B">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06614B" w:rsidRPr="0006614B" w:rsidTr="0006614B">
        <w:trPr>
          <w:tblCellSpacing w:w="15" w:type="dxa"/>
        </w:trPr>
        <w:tc>
          <w:tcPr>
            <w:tcW w:w="4500" w:type="pct"/>
            <w:hideMark/>
          </w:tcPr>
          <w:p w:rsidR="0006614B" w:rsidRPr="0006614B" w:rsidRDefault="0006614B" w:rsidP="0006614B">
            <w:pPr>
              <w:spacing w:after="0" w:line="240" w:lineRule="auto"/>
              <w:rPr>
                <w:rFonts w:ascii="Arial" w:eastAsia="Times New Roman" w:hAnsi="Arial" w:cs="Arial"/>
                <w:color w:val="000000" w:themeColor="text1"/>
                <w:sz w:val="18"/>
                <w:szCs w:val="18"/>
                <w:lang w:val="en-US" w:eastAsia="ru-RU"/>
              </w:rPr>
            </w:pPr>
            <w:r w:rsidRPr="0006614B">
              <w:rPr>
                <w:rFonts w:ascii="Arial" w:eastAsia="Times New Roman" w:hAnsi="Arial" w:cs="Arial"/>
                <w:b/>
                <w:bCs/>
                <w:i/>
                <w:iCs/>
                <w:color w:val="000000" w:themeColor="text1"/>
                <w:sz w:val="18"/>
                <w:szCs w:val="18"/>
                <w:lang w:val="en-US" w:eastAsia="ru-RU"/>
              </w:rPr>
              <w:t>Abstracts of the published papers</w:t>
            </w:r>
          </w:p>
        </w:tc>
        <w:tc>
          <w:tcPr>
            <w:tcW w:w="0" w:type="auto"/>
            <w:hideMark/>
          </w:tcPr>
          <w:p w:rsidR="0006614B" w:rsidRPr="0006614B" w:rsidRDefault="0006614B" w:rsidP="0006614B">
            <w:pPr>
              <w:spacing w:after="0" w:line="240" w:lineRule="auto"/>
              <w:rPr>
                <w:rFonts w:ascii="Arial" w:eastAsia="Times New Roman" w:hAnsi="Arial" w:cs="Arial"/>
                <w:color w:val="000000" w:themeColor="text1"/>
                <w:sz w:val="18"/>
                <w:szCs w:val="18"/>
                <w:lang w:eastAsia="ru-RU"/>
              </w:rPr>
            </w:pPr>
            <w:r w:rsidRPr="0006614B">
              <w:rPr>
                <w:rFonts w:ascii="Arial" w:eastAsia="Times New Roman" w:hAnsi="Arial" w:cs="Arial"/>
                <w:b/>
                <w:bCs/>
                <w:color w:val="000000" w:themeColor="text1"/>
                <w:sz w:val="18"/>
                <w:szCs w:val="18"/>
                <w:lang w:eastAsia="ru-RU"/>
              </w:rPr>
              <w:t>125</w:t>
            </w:r>
          </w:p>
        </w:tc>
      </w:tr>
      <w:bookmarkEnd w:id="0"/>
    </w:tbl>
    <w:p w:rsidR="006F35EC" w:rsidRPr="0006614B" w:rsidRDefault="006F35EC" w:rsidP="0006614B">
      <w:pPr>
        <w:spacing w:before="100" w:beforeAutospacing="1" w:after="100" w:afterAutospacing="1" w:line="240" w:lineRule="auto"/>
        <w:jc w:val="center"/>
        <w:rPr>
          <w:color w:val="000000" w:themeColor="text1"/>
        </w:rPr>
      </w:pPr>
    </w:p>
    <w:sectPr w:rsidR="006F35EC" w:rsidRPr="0006614B"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E9" w:rsidRDefault="00F113E9" w:rsidP="00463F60">
      <w:pPr>
        <w:spacing w:after="0" w:line="240" w:lineRule="auto"/>
      </w:pPr>
      <w:r>
        <w:separator/>
      </w:r>
    </w:p>
  </w:endnote>
  <w:endnote w:type="continuationSeparator" w:id="0">
    <w:p w:rsidR="00F113E9" w:rsidRDefault="00F113E9"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E9" w:rsidRDefault="00F113E9" w:rsidP="00463F60">
      <w:pPr>
        <w:spacing w:after="0" w:line="240" w:lineRule="auto"/>
      </w:pPr>
      <w:r>
        <w:separator/>
      </w:r>
    </w:p>
  </w:footnote>
  <w:footnote w:type="continuationSeparator" w:id="0">
    <w:p w:rsidR="00F113E9" w:rsidRDefault="00F113E9" w:rsidP="00463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A2026"/>
    <w:rsid w:val="00463F60"/>
    <w:rsid w:val="004847E1"/>
    <w:rsid w:val="004B4E66"/>
    <w:rsid w:val="004F39CF"/>
    <w:rsid w:val="00586B75"/>
    <w:rsid w:val="005A7D4D"/>
    <w:rsid w:val="005B1A81"/>
    <w:rsid w:val="005B5B9E"/>
    <w:rsid w:val="005C6DC3"/>
    <w:rsid w:val="00603BA8"/>
    <w:rsid w:val="006B1AE7"/>
    <w:rsid w:val="006C7A8A"/>
    <w:rsid w:val="006F35EC"/>
    <w:rsid w:val="00780AFC"/>
    <w:rsid w:val="007B6546"/>
    <w:rsid w:val="00854A69"/>
    <w:rsid w:val="00857D8F"/>
    <w:rsid w:val="00970F99"/>
    <w:rsid w:val="009F42AA"/>
    <w:rsid w:val="00A03D40"/>
    <w:rsid w:val="00A211E1"/>
    <w:rsid w:val="00B30139"/>
    <w:rsid w:val="00B444F7"/>
    <w:rsid w:val="00BF6DF6"/>
    <w:rsid w:val="00C06F35"/>
    <w:rsid w:val="00C86F77"/>
    <w:rsid w:val="00CC4E39"/>
    <w:rsid w:val="00D4740F"/>
    <w:rsid w:val="00D76E24"/>
    <w:rsid w:val="00DA1329"/>
    <w:rsid w:val="00DA4C49"/>
    <w:rsid w:val="00DB3B16"/>
    <w:rsid w:val="00DC243A"/>
    <w:rsid w:val="00E17425"/>
    <w:rsid w:val="00E26362"/>
    <w:rsid w:val="00EE4123"/>
    <w:rsid w:val="00F11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ktropribor.spb.ru/gn/numbers/2009_1/Confs_en.r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1537</Words>
  <Characters>8762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2018-07-26T13:03:00Z</dcterms:created>
  <dcterms:modified xsi:type="dcterms:W3CDTF">2018-07-26T13:03:00Z</dcterms:modified>
</cp:coreProperties>
</file>